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tblPr>
      <w:tblGrid>
        <w:gridCol w:w="9513"/>
      </w:tblGrid>
      <w:tr w:rsidR="008D2FEC" w:rsidRPr="00B32849" w:rsidTr="008D2FEC">
        <w:trPr>
          <w:trHeight w:hRule="exact" w:val="3598"/>
        </w:trPr>
        <w:tc>
          <w:tcPr>
            <w:tcW w:w="9513" w:type="dxa"/>
            <w:tcBorders>
              <w:top w:val="threeDEmboss" w:sz="18" w:space="0" w:color="auto"/>
            </w:tcBorders>
            <w:vAlign w:val="center"/>
          </w:tcPr>
          <w:p w:rsidR="008D2FEC" w:rsidRPr="002D0BE7" w:rsidRDefault="00990869" w:rsidP="00F46795">
            <w:pPr>
              <w:pStyle w:val="RepTitle"/>
              <w:rPr>
                <w:b/>
                <w:bCs/>
              </w:rPr>
            </w:pPr>
            <w:r>
              <w:rPr>
                <w:b/>
                <w:bCs/>
              </w:rPr>
              <w:t>FINAL</w:t>
            </w:r>
            <w:r w:rsidR="008D2FEC" w:rsidRPr="002D0BE7">
              <w:rPr>
                <w:b/>
                <w:bCs/>
              </w:rPr>
              <w:t xml:space="preserve"> REGISTRATION REPORT</w:t>
            </w:r>
          </w:p>
          <w:p w:rsidR="00F52E35" w:rsidRPr="002D0BE7" w:rsidRDefault="00F52E35" w:rsidP="000006C8">
            <w:pPr>
              <w:pStyle w:val="RepTitle"/>
              <w:rPr>
                <w:b/>
                <w:bCs/>
              </w:rPr>
            </w:pPr>
            <w:r w:rsidRPr="002D0BE7">
              <w:rPr>
                <w:b/>
                <w:bCs/>
              </w:rPr>
              <w:t>Part B</w:t>
            </w:r>
          </w:p>
          <w:p w:rsidR="00B766E8" w:rsidRPr="002D0BE7" w:rsidRDefault="00B766E8" w:rsidP="00B766E8">
            <w:pPr>
              <w:pStyle w:val="RepTitleBold"/>
              <w:rPr>
                <w:bCs/>
              </w:rPr>
            </w:pPr>
            <w:r w:rsidRPr="002D0BE7">
              <w:rPr>
                <w:bCs/>
              </w:rPr>
              <w:t>Section 6</w:t>
            </w:r>
          </w:p>
          <w:p w:rsidR="008D2FEC" w:rsidRPr="002D0BE7" w:rsidRDefault="00B766E8" w:rsidP="00B766E8">
            <w:pPr>
              <w:pStyle w:val="RepTitleBold"/>
              <w:rPr>
                <w:bCs/>
              </w:rPr>
            </w:pPr>
            <w:r w:rsidRPr="002D0BE7">
              <w:rPr>
                <w:bCs/>
              </w:rPr>
              <w:t>Mammalian Toxicology</w:t>
            </w:r>
            <w:r w:rsidRPr="002D0BE7">
              <w:rPr>
                <w:bCs/>
              </w:rPr>
              <w:br/>
            </w:r>
          </w:p>
          <w:p w:rsidR="00B766E8" w:rsidRPr="002D0BE7" w:rsidRDefault="00B766E8" w:rsidP="000006C8">
            <w:pPr>
              <w:pStyle w:val="RepSubtitle"/>
              <w:rPr>
                <w:b/>
              </w:rPr>
            </w:pPr>
            <w:r w:rsidRPr="002D0BE7">
              <w:rPr>
                <w:b/>
              </w:rPr>
              <w:t>Detailed summary of the risk assessment</w:t>
            </w:r>
          </w:p>
        </w:tc>
      </w:tr>
      <w:tr w:rsidR="008D2FEC" w:rsidRPr="00B32849" w:rsidTr="008D2FEC">
        <w:trPr>
          <w:trHeight w:hRule="exact" w:val="3765"/>
        </w:trPr>
        <w:tc>
          <w:tcPr>
            <w:tcW w:w="9513" w:type="dxa"/>
            <w:vAlign w:val="center"/>
          </w:tcPr>
          <w:p w:rsidR="00B36BB4" w:rsidRPr="002D0BE7" w:rsidRDefault="00B36BB4" w:rsidP="00B36BB4">
            <w:pPr>
              <w:pStyle w:val="RepTitle"/>
              <w:rPr>
                <w:b/>
                <w:bCs/>
              </w:rPr>
            </w:pPr>
            <w:r w:rsidRPr="002D0BE7">
              <w:rPr>
                <w:b/>
                <w:bCs/>
              </w:rPr>
              <w:t xml:space="preserve">Product code: </w:t>
            </w:r>
            <w:r w:rsidR="005A396C" w:rsidRPr="002D0BE7">
              <w:rPr>
                <w:b/>
                <w:bCs/>
              </w:rPr>
              <w:t>054-01-05</w:t>
            </w:r>
          </w:p>
          <w:p w:rsidR="00B36BB4" w:rsidRPr="002D0BE7" w:rsidRDefault="00B36BB4" w:rsidP="00B36BB4">
            <w:pPr>
              <w:pStyle w:val="RepTitle"/>
              <w:rPr>
                <w:b/>
                <w:bCs/>
              </w:rPr>
            </w:pPr>
            <w:r w:rsidRPr="002D0BE7">
              <w:rPr>
                <w:b/>
                <w:bCs/>
              </w:rPr>
              <w:t>Product name(s):</w:t>
            </w:r>
            <w:r w:rsidR="005A396C" w:rsidRPr="002D0BE7">
              <w:rPr>
                <w:b/>
                <w:bCs/>
              </w:rPr>
              <w:t xml:space="preserve"> </w:t>
            </w:r>
            <w:proofErr w:type="spellStart"/>
            <w:r w:rsidR="005A396C" w:rsidRPr="002D0BE7">
              <w:rPr>
                <w:b/>
                <w:bCs/>
              </w:rPr>
              <w:t>Meso-Iodo</w:t>
            </w:r>
            <w:proofErr w:type="spellEnd"/>
            <w:r w:rsidR="005A396C" w:rsidRPr="002D0BE7">
              <w:rPr>
                <w:b/>
                <w:bCs/>
              </w:rPr>
              <w:t xml:space="preserve"> OD-Life</w:t>
            </w:r>
            <w:r w:rsidRPr="002D0BE7">
              <w:rPr>
                <w:b/>
                <w:bCs/>
              </w:rPr>
              <w:t xml:space="preserve"> </w:t>
            </w:r>
          </w:p>
          <w:p w:rsidR="008D2FEC" w:rsidRPr="002D0BE7" w:rsidRDefault="00AF5C12" w:rsidP="002442E5">
            <w:pPr>
              <w:pStyle w:val="RepSubtitle"/>
              <w:rPr>
                <w:b/>
              </w:rPr>
            </w:pPr>
            <w:r w:rsidRPr="002D0BE7">
              <w:rPr>
                <w:b/>
              </w:rPr>
              <w:t>Chemical a</w:t>
            </w:r>
            <w:r w:rsidR="008D2FEC" w:rsidRPr="002D0BE7">
              <w:rPr>
                <w:b/>
              </w:rPr>
              <w:t xml:space="preserve">ctive substances: </w:t>
            </w:r>
          </w:p>
          <w:p w:rsidR="005A396C" w:rsidRPr="002D0BE7" w:rsidRDefault="005A396C" w:rsidP="005A396C">
            <w:pPr>
              <w:pStyle w:val="RepSubtitle"/>
              <w:rPr>
                <w:b/>
              </w:rPr>
            </w:pPr>
            <w:proofErr w:type="spellStart"/>
            <w:r w:rsidRPr="002D0BE7">
              <w:rPr>
                <w:b/>
              </w:rPr>
              <w:t>Mesosulfuron</w:t>
            </w:r>
            <w:proofErr w:type="spellEnd"/>
            <w:r w:rsidRPr="002D0BE7">
              <w:rPr>
                <w:b/>
              </w:rPr>
              <w:t>-methyl, 10 g/L</w:t>
            </w:r>
          </w:p>
          <w:p w:rsidR="008D2FEC" w:rsidRPr="002D0BE7" w:rsidRDefault="005A396C" w:rsidP="005A396C">
            <w:pPr>
              <w:pStyle w:val="RepSubtitle"/>
              <w:rPr>
                <w:b/>
              </w:rPr>
            </w:pPr>
            <w:proofErr w:type="spellStart"/>
            <w:r w:rsidRPr="002D0BE7">
              <w:rPr>
                <w:b/>
              </w:rPr>
              <w:t>Iodosulfuron</w:t>
            </w:r>
            <w:proofErr w:type="spellEnd"/>
            <w:r w:rsidRPr="002D0BE7">
              <w:rPr>
                <w:b/>
              </w:rPr>
              <w:t>-methyl-sodium, 2 g/L</w:t>
            </w:r>
          </w:p>
        </w:tc>
      </w:tr>
      <w:tr w:rsidR="008D2FEC" w:rsidRPr="00B32849" w:rsidTr="009D5C15">
        <w:trPr>
          <w:trHeight w:hRule="exact" w:val="1999"/>
        </w:trPr>
        <w:tc>
          <w:tcPr>
            <w:tcW w:w="9513" w:type="dxa"/>
            <w:vAlign w:val="center"/>
          </w:tcPr>
          <w:p w:rsidR="008D2FEC" w:rsidRPr="002D0BE7" w:rsidRDefault="00AD425E" w:rsidP="002442E5">
            <w:pPr>
              <w:pStyle w:val="RepTitle"/>
              <w:rPr>
                <w:b/>
                <w:bCs/>
              </w:rPr>
            </w:pPr>
            <w:r w:rsidRPr="002D0BE7">
              <w:rPr>
                <w:b/>
                <w:bCs/>
              </w:rPr>
              <w:t>Central</w:t>
            </w:r>
            <w:r w:rsidR="000006C8" w:rsidRPr="002D0BE7">
              <w:rPr>
                <w:b/>
                <w:bCs/>
              </w:rPr>
              <w:t xml:space="preserve"> Zone</w:t>
            </w:r>
          </w:p>
          <w:p w:rsidR="008D2FEC" w:rsidRPr="002D0BE7" w:rsidRDefault="008D2FEC" w:rsidP="002442E5">
            <w:pPr>
              <w:pStyle w:val="RepTitle"/>
              <w:rPr>
                <w:b/>
                <w:bCs/>
              </w:rPr>
            </w:pPr>
            <w:r w:rsidRPr="002D0BE7">
              <w:rPr>
                <w:b/>
                <w:bCs/>
              </w:rPr>
              <w:t xml:space="preserve">Zonal Rapporteur Member State: </w:t>
            </w:r>
            <w:r w:rsidR="005A396C" w:rsidRPr="002D0BE7">
              <w:rPr>
                <w:b/>
                <w:bCs/>
              </w:rPr>
              <w:t>Poland</w:t>
            </w:r>
          </w:p>
          <w:p w:rsidR="005A396C" w:rsidRPr="002D0BE7" w:rsidRDefault="005A396C" w:rsidP="002442E5">
            <w:pPr>
              <w:pStyle w:val="RepTitle"/>
              <w:rPr>
                <w:b/>
                <w:bCs/>
              </w:rPr>
            </w:pPr>
            <w:r w:rsidRPr="002D0BE7">
              <w:rPr>
                <w:b/>
                <w:bCs/>
              </w:rPr>
              <w:t>Concerned Member State: Germany</w:t>
            </w:r>
          </w:p>
        </w:tc>
      </w:tr>
      <w:tr w:rsidR="008D2FEC" w:rsidRPr="00B32849" w:rsidTr="009D5C15">
        <w:trPr>
          <w:trHeight w:hRule="exact" w:val="1830"/>
        </w:trPr>
        <w:tc>
          <w:tcPr>
            <w:tcW w:w="9513" w:type="dxa"/>
            <w:vAlign w:val="center"/>
          </w:tcPr>
          <w:p w:rsidR="000006C8" w:rsidRPr="002D0BE7" w:rsidRDefault="008D2FEC" w:rsidP="002442E5">
            <w:pPr>
              <w:pStyle w:val="RepTitle"/>
              <w:rPr>
                <w:b/>
                <w:bCs/>
              </w:rPr>
            </w:pPr>
            <w:r w:rsidRPr="002D0BE7">
              <w:rPr>
                <w:b/>
                <w:bCs/>
              </w:rPr>
              <w:t>CORE ASSESSMENT</w:t>
            </w:r>
          </w:p>
          <w:p w:rsidR="008D2FEC" w:rsidRPr="002D0BE7" w:rsidRDefault="008D2FEC" w:rsidP="00775A1E">
            <w:pPr>
              <w:pStyle w:val="RepTitle"/>
              <w:rPr>
                <w:b/>
                <w:bCs/>
                <w:lang w:val="en-US"/>
              </w:rPr>
            </w:pPr>
            <w:r w:rsidRPr="002D0BE7">
              <w:rPr>
                <w:b/>
                <w:bCs/>
              </w:rPr>
              <w:t>(</w:t>
            </w:r>
            <w:r w:rsidR="004C4C7A" w:rsidRPr="002D0BE7">
              <w:rPr>
                <w:b/>
                <w:bCs/>
              </w:rPr>
              <w:t>A</w:t>
            </w:r>
            <w:r w:rsidRPr="002D0BE7">
              <w:rPr>
                <w:b/>
                <w:bCs/>
              </w:rPr>
              <w:t>uthori</w:t>
            </w:r>
            <w:r w:rsidR="004C4C7A" w:rsidRPr="002D0BE7">
              <w:rPr>
                <w:b/>
                <w:bCs/>
              </w:rPr>
              <w:t>s</w:t>
            </w:r>
            <w:r w:rsidRPr="002D0BE7">
              <w:rPr>
                <w:b/>
                <w:bCs/>
              </w:rPr>
              <w:t>ation</w:t>
            </w:r>
            <w:r w:rsidR="004C4C7A" w:rsidRPr="002D0BE7">
              <w:rPr>
                <w:b/>
                <w:bCs/>
              </w:rPr>
              <w:t>)</w:t>
            </w:r>
          </w:p>
        </w:tc>
      </w:tr>
      <w:tr w:rsidR="008D2FEC" w:rsidRPr="005078C3" w:rsidTr="009D5C15">
        <w:trPr>
          <w:trHeight w:hRule="exact" w:val="2692"/>
        </w:trPr>
        <w:tc>
          <w:tcPr>
            <w:tcW w:w="9513" w:type="dxa"/>
            <w:tcBorders>
              <w:bottom w:val="threeDEmboss" w:sz="18" w:space="0" w:color="auto"/>
            </w:tcBorders>
            <w:vAlign w:val="center"/>
          </w:tcPr>
          <w:p w:rsidR="008D2FEC" w:rsidRPr="002D0BE7" w:rsidRDefault="008D2FEC" w:rsidP="002442E5">
            <w:pPr>
              <w:pStyle w:val="RepTitle"/>
              <w:rPr>
                <w:b/>
                <w:bCs/>
              </w:rPr>
            </w:pPr>
            <w:r w:rsidRPr="002D0BE7">
              <w:rPr>
                <w:b/>
                <w:bCs/>
              </w:rPr>
              <w:t xml:space="preserve">Applicant: </w:t>
            </w:r>
            <w:r w:rsidR="004C4C7A" w:rsidRPr="002D0BE7">
              <w:rPr>
                <w:b/>
                <w:bCs/>
              </w:rPr>
              <w:t>Life Scientific Ltd.</w:t>
            </w:r>
          </w:p>
          <w:p w:rsidR="008D2FEC" w:rsidRDefault="008D2FEC" w:rsidP="002442E5">
            <w:pPr>
              <w:pStyle w:val="RepTitle"/>
              <w:rPr>
                <w:b/>
                <w:bCs/>
              </w:rPr>
            </w:pPr>
            <w:r w:rsidRPr="002D0BE7">
              <w:rPr>
                <w:b/>
                <w:bCs/>
              </w:rPr>
              <w:t xml:space="preserve">Submission date: </w:t>
            </w:r>
            <w:r w:rsidR="000060B1" w:rsidRPr="002D0BE7">
              <w:rPr>
                <w:b/>
                <w:bCs/>
              </w:rPr>
              <w:t>Q1 2023</w:t>
            </w:r>
            <w:r w:rsidR="000060B1">
              <w:rPr>
                <w:b/>
                <w:bCs/>
              </w:rPr>
              <w:t xml:space="preserve">; </w:t>
            </w:r>
            <w:r w:rsidR="009105A9" w:rsidRPr="009105A9">
              <w:rPr>
                <w:b/>
                <w:bCs/>
                <w:highlight w:val="yellow"/>
              </w:rPr>
              <w:t>November</w:t>
            </w:r>
            <w:r w:rsidR="004C4C7A" w:rsidRPr="009105A9">
              <w:rPr>
                <w:b/>
                <w:bCs/>
                <w:highlight w:val="yellow"/>
              </w:rPr>
              <w:t xml:space="preserve"> 2023</w:t>
            </w:r>
            <w:r w:rsidR="001F75A7">
              <w:rPr>
                <w:b/>
                <w:bCs/>
              </w:rPr>
              <w:t xml:space="preserve">; </w:t>
            </w:r>
          </w:p>
          <w:p w:rsidR="009C5765" w:rsidRPr="009C5765" w:rsidRDefault="009C5765" w:rsidP="002442E5">
            <w:pPr>
              <w:pStyle w:val="RepTitle"/>
            </w:pPr>
            <w:r w:rsidRPr="009C5765">
              <w:rPr>
                <w:b/>
                <w:bCs/>
                <w:highlight w:val="cyan"/>
                <w:lang w:val="en-US"/>
              </w:rPr>
              <w:t>October 2024</w:t>
            </w:r>
          </w:p>
          <w:p w:rsidR="008D2FEC" w:rsidRPr="002D0BE7" w:rsidRDefault="003674BF" w:rsidP="002442E5">
            <w:pPr>
              <w:pStyle w:val="RepTitle"/>
              <w:rPr>
                <w:b/>
                <w:bCs/>
                <w:lang w:val="fr-FR"/>
              </w:rPr>
            </w:pPr>
            <w:r w:rsidRPr="002D0BE7">
              <w:rPr>
                <w:b/>
                <w:bCs/>
                <w:lang w:val="fr-FR"/>
              </w:rPr>
              <w:t xml:space="preserve">MS </w:t>
            </w:r>
            <w:r w:rsidR="008D2FEC" w:rsidRPr="002D0BE7">
              <w:rPr>
                <w:b/>
                <w:bCs/>
                <w:lang w:val="fr-FR"/>
              </w:rPr>
              <w:t xml:space="preserve">Finalisation date: </w:t>
            </w:r>
            <w:r w:rsidR="000060B1" w:rsidRPr="00936FBA">
              <w:rPr>
                <w:b/>
                <w:bCs/>
                <w:highlight w:val="lightGray"/>
              </w:rPr>
              <w:t>July 2023</w:t>
            </w:r>
            <w:r w:rsidR="000060B1">
              <w:rPr>
                <w:b/>
                <w:bCs/>
              </w:rPr>
              <w:t xml:space="preserve">; </w:t>
            </w:r>
            <w:r w:rsidR="000060B1" w:rsidRPr="001F75A7">
              <w:rPr>
                <w:b/>
                <w:bCs/>
                <w:highlight w:val="magenta"/>
              </w:rPr>
              <w:t>April 2024</w:t>
            </w:r>
            <w:r w:rsidR="000060B1">
              <w:rPr>
                <w:b/>
                <w:bCs/>
                <w:highlight w:val="magenta"/>
              </w:rPr>
              <w:t>;</w:t>
            </w:r>
            <w:r w:rsidR="009D5C15">
              <w:rPr>
                <w:b/>
                <w:bCs/>
                <w:highlight w:val="magenta"/>
              </w:rPr>
              <w:br/>
            </w:r>
            <w:r w:rsidR="001F75A7" w:rsidRPr="00990869">
              <w:rPr>
                <w:b/>
                <w:bCs/>
                <w:highlight w:val="green"/>
                <w:shd w:val="clear" w:color="auto" w:fill="92D050"/>
              </w:rPr>
              <w:t>September 2024</w:t>
            </w:r>
            <w:r w:rsidR="009D5C15">
              <w:rPr>
                <w:b/>
                <w:bCs/>
              </w:rPr>
              <w:t>;</w:t>
            </w:r>
            <w:r w:rsidR="00997590">
              <w:rPr>
                <w:b/>
                <w:bCs/>
              </w:rPr>
              <w:t xml:space="preserve"> </w:t>
            </w:r>
            <w:bookmarkStart w:id="0" w:name="_GoBack"/>
            <w:bookmarkEnd w:id="0"/>
            <w:r w:rsidR="001837A3" w:rsidRPr="00A27237">
              <w:rPr>
                <w:b/>
                <w:bCs/>
                <w:highlight w:val="darkYellow"/>
              </w:rPr>
              <w:t>October 2024</w:t>
            </w:r>
            <w:r w:rsidR="009D5C15" w:rsidRPr="00A27237">
              <w:rPr>
                <w:b/>
                <w:bCs/>
                <w:highlight w:val="darkYellow"/>
              </w:rPr>
              <w:t xml:space="preserve">; </w:t>
            </w:r>
          </w:p>
        </w:tc>
      </w:tr>
    </w:tbl>
    <w:p w:rsidR="002442E5" w:rsidRPr="004843F9" w:rsidRDefault="002442E5" w:rsidP="002442E5">
      <w:pPr>
        <w:pStyle w:val="RepTitle"/>
        <w:rPr>
          <w:lang w:val="fr-FR"/>
        </w:rPr>
        <w:sectPr w:rsidR="002442E5" w:rsidRPr="004843F9" w:rsidSect="001B7AAD">
          <w:headerReference w:type="default" r:id="rId8"/>
          <w:footerReference w:type="even" r:id="rId9"/>
          <w:pgSz w:w="11906" w:h="16838" w:code="9"/>
          <w:pgMar w:top="1417" w:right="1134" w:bottom="1134" w:left="1417" w:header="709" w:footer="142" w:gutter="0"/>
          <w:pgNumType w:chapSep="period"/>
          <w:cols w:space="708"/>
          <w:titlePg/>
          <w:docGrid w:linePitch="360"/>
        </w:sectPr>
      </w:pPr>
    </w:p>
    <w:p w:rsidR="00E83884" w:rsidRPr="00B32849" w:rsidRDefault="008D2FEC" w:rsidP="002442E5">
      <w:pPr>
        <w:pStyle w:val="RepTitle"/>
      </w:pPr>
      <w:r w:rsidRPr="00B32849">
        <w:lastRenderedPageBreak/>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507"/>
        <w:gridCol w:w="7962"/>
      </w:tblGrid>
      <w:tr w:rsidR="00E83884" w:rsidRPr="00B32849" w:rsidTr="000006C8">
        <w:tc>
          <w:tcPr>
            <w:tcW w:w="796" w:type="pct"/>
          </w:tcPr>
          <w:p w:rsidR="00E83884" w:rsidRPr="00B32849" w:rsidRDefault="00E83884" w:rsidP="00A241B7">
            <w:pPr>
              <w:pStyle w:val="RepTableHeader"/>
              <w:jc w:val="center"/>
              <w:rPr>
                <w:lang w:val="en-GB"/>
              </w:rPr>
            </w:pPr>
            <w:r w:rsidRPr="00B32849">
              <w:rPr>
                <w:lang w:val="en-GB"/>
              </w:rPr>
              <w:t>When</w:t>
            </w:r>
          </w:p>
        </w:tc>
        <w:tc>
          <w:tcPr>
            <w:tcW w:w="4204" w:type="pct"/>
          </w:tcPr>
          <w:p w:rsidR="00E83884" w:rsidRPr="00B32849" w:rsidRDefault="00E83884" w:rsidP="00A241B7">
            <w:pPr>
              <w:pStyle w:val="RepTableHeader"/>
              <w:jc w:val="center"/>
              <w:rPr>
                <w:lang w:val="en-GB"/>
              </w:rPr>
            </w:pPr>
            <w:r w:rsidRPr="00B32849">
              <w:rPr>
                <w:lang w:val="en-GB"/>
              </w:rPr>
              <w:t>What</w:t>
            </w:r>
          </w:p>
        </w:tc>
      </w:tr>
      <w:tr w:rsidR="009E789B" w:rsidRPr="00B32849" w:rsidTr="000006C8">
        <w:tc>
          <w:tcPr>
            <w:tcW w:w="796" w:type="pct"/>
          </w:tcPr>
          <w:p w:rsidR="009E789B" w:rsidRPr="00936FBA" w:rsidRDefault="009E789B" w:rsidP="009E789B">
            <w:pPr>
              <w:rPr>
                <w:sz w:val="20"/>
                <w:highlight w:val="lightGray"/>
              </w:rPr>
            </w:pPr>
            <w:r w:rsidRPr="00936FBA">
              <w:rPr>
                <w:sz w:val="20"/>
                <w:highlight w:val="lightGray"/>
              </w:rPr>
              <w:t>July 2023</w:t>
            </w:r>
          </w:p>
        </w:tc>
        <w:tc>
          <w:tcPr>
            <w:tcW w:w="4204" w:type="pct"/>
          </w:tcPr>
          <w:p w:rsidR="009E789B" w:rsidRPr="00936FBA" w:rsidRDefault="009E789B" w:rsidP="009E789B">
            <w:pPr>
              <w:rPr>
                <w:sz w:val="20"/>
                <w:highlight w:val="lightGray"/>
              </w:rPr>
            </w:pPr>
            <w:proofErr w:type="spellStart"/>
            <w:r w:rsidRPr="00936FBA">
              <w:rPr>
                <w:sz w:val="20"/>
                <w:highlight w:val="lightGray"/>
              </w:rPr>
              <w:t>zRMs</w:t>
            </w:r>
            <w:proofErr w:type="spellEnd"/>
            <w:r w:rsidRPr="00936FBA">
              <w:rPr>
                <w:sz w:val="20"/>
                <w:highlight w:val="lightGray"/>
              </w:rPr>
              <w:t xml:space="preserve"> evaluated </w:t>
            </w:r>
            <w:proofErr w:type="spellStart"/>
            <w:r w:rsidRPr="00936FBA">
              <w:rPr>
                <w:sz w:val="20"/>
                <w:highlight w:val="lightGray"/>
              </w:rPr>
              <w:t>dRR</w:t>
            </w:r>
            <w:proofErr w:type="spellEnd"/>
            <w:r w:rsidRPr="00936FBA">
              <w:rPr>
                <w:sz w:val="20"/>
                <w:highlight w:val="lightGray"/>
              </w:rPr>
              <w:t xml:space="preserve"> submitted by Applicant</w:t>
            </w:r>
          </w:p>
        </w:tc>
      </w:tr>
      <w:tr w:rsidR="00E83884" w:rsidRPr="00B32849" w:rsidTr="000006C8">
        <w:tc>
          <w:tcPr>
            <w:tcW w:w="796" w:type="pct"/>
          </w:tcPr>
          <w:p w:rsidR="00E83884" w:rsidRPr="000E2DD9" w:rsidRDefault="000E2DD9" w:rsidP="002442E5">
            <w:pPr>
              <w:pStyle w:val="RepTable"/>
              <w:rPr>
                <w:noProof w:val="0"/>
                <w:highlight w:val="yellow"/>
              </w:rPr>
            </w:pPr>
            <w:r w:rsidRPr="000E2DD9">
              <w:rPr>
                <w:noProof w:val="0"/>
                <w:highlight w:val="yellow"/>
              </w:rPr>
              <w:t>November 2023</w:t>
            </w:r>
          </w:p>
        </w:tc>
        <w:tc>
          <w:tcPr>
            <w:tcW w:w="4204" w:type="pct"/>
          </w:tcPr>
          <w:p w:rsidR="00E83884" w:rsidRPr="000E2DD9" w:rsidRDefault="00A95A35" w:rsidP="002442E5">
            <w:pPr>
              <w:pStyle w:val="RepTable"/>
              <w:rPr>
                <w:noProof w:val="0"/>
                <w:highlight w:val="yellow"/>
              </w:rPr>
            </w:pPr>
            <w:r w:rsidRPr="00A95A35">
              <w:rPr>
                <w:noProof w:val="0"/>
                <w:highlight w:val="yellow"/>
                <w:lang w:val="en-US"/>
              </w:rPr>
              <w:t>dRR and non-dietary risk assessment updated in line with request</w:t>
            </w:r>
            <w:r w:rsidR="00E6260D">
              <w:rPr>
                <w:noProof w:val="0"/>
                <w:highlight w:val="yellow"/>
                <w:lang w:val="en-US"/>
              </w:rPr>
              <w:t xml:space="preserve"> from evaluator</w:t>
            </w:r>
          </w:p>
        </w:tc>
      </w:tr>
      <w:tr w:rsidR="001F75A7" w:rsidRPr="00B32849" w:rsidTr="000006C8">
        <w:tc>
          <w:tcPr>
            <w:tcW w:w="796" w:type="pct"/>
          </w:tcPr>
          <w:p w:rsidR="001F75A7" w:rsidRPr="00A36EB4" w:rsidRDefault="001F75A7" w:rsidP="004F3BA4">
            <w:pPr>
              <w:pStyle w:val="RepTable"/>
              <w:rPr>
                <w:noProof w:val="0"/>
                <w:highlight w:val="magenta"/>
              </w:rPr>
            </w:pPr>
            <w:r>
              <w:rPr>
                <w:noProof w:val="0"/>
                <w:highlight w:val="magenta"/>
              </w:rPr>
              <w:t>April</w:t>
            </w:r>
            <w:r w:rsidRPr="00A36EB4">
              <w:rPr>
                <w:noProof w:val="0"/>
                <w:highlight w:val="magenta"/>
              </w:rPr>
              <w:t xml:space="preserve"> 2024</w:t>
            </w:r>
          </w:p>
        </w:tc>
        <w:tc>
          <w:tcPr>
            <w:tcW w:w="4204" w:type="pct"/>
          </w:tcPr>
          <w:p w:rsidR="001F75A7" w:rsidRPr="00A36EB4" w:rsidRDefault="001F75A7" w:rsidP="004F3BA4">
            <w:pPr>
              <w:pStyle w:val="RepTable"/>
              <w:rPr>
                <w:noProof w:val="0"/>
                <w:highlight w:val="magenta"/>
              </w:rPr>
            </w:pPr>
            <w:r w:rsidRPr="00A36EB4">
              <w:rPr>
                <w:noProof w:val="0"/>
                <w:highlight w:val="magenta"/>
              </w:rPr>
              <w:t>Updated after comments</w:t>
            </w:r>
          </w:p>
        </w:tc>
      </w:tr>
      <w:tr w:rsidR="001F75A7" w:rsidRPr="00B32849" w:rsidTr="00990869">
        <w:tc>
          <w:tcPr>
            <w:tcW w:w="796" w:type="pct"/>
            <w:shd w:val="clear" w:color="auto" w:fill="auto"/>
          </w:tcPr>
          <w:p w:rsidR="001F75A7" w:rsidRPr="00E223CB" w:rsidRDefault="001F75A7" w:rsidP="004F3BA4">
            <w:pPr>
              <w:pStyle w:val="RepTable"/>
              <w:rPr>
                <w:noProof w:val="0"/>
                <w:highlight w:val="green"/>
              </w:rPr>
            </w:pPr>
            <w:r w:rsidRPr="00990869">
              <w:rPr>
                <w:noProof w:val="0"/>
                <w:highlight w:val="green"/>
                <w:shd w:val="clear" w:color="auto" w:fill="00FF00"/>
              </w:rPr>
              <w:t>September</w:t>
            </w:r>
            <w:r w:rsidRPr="00E223CB">
              <w:rPr>
                <w:noProof w:val="0"/>
                <w:highlight w:val="green"/>
              </w:rPr>
              <w:t xml:space="preserve"> 2024</w:t>
            </w:r>
          </w:p>
        </w:tc>
        <w:tc>
          <w:tcPr>
            <w:tcW w:w="4204" w:type="pct"/>
            <w:shd w:val="clear" w:color="auto" w:fill="auto"/>
          </w:tcPr>
          <w:p w:rsidR="001F75A7" w:rsidRPr="00E223CB" w:rsidRDefault="001F75A7" w:rsidP="004F3BA4">
            <w:pPr>
              <w:pStyle w:val="RepTable"/>
              <w:rPr>
                <w:noProof w:val="0"/>
                <w:highlight w:val="green"/>
              </w:rPr>
            </w:pPr>
            <w:r w:rsidRPr="00E223CB">
              <w:rPr>
                <w:noProof w:val="0"/>
                <w:highlight w:val="green"/>
              </w:rPr>
              <w:t>Updated</w:t>
            </w:r>
          </w:p>
        </w:tc>
      </w:tr>
      <w:tr w:rsidR="009C5765" w:rsidRPr="00B32849" w:rsidTr="00936FBA">
        <w:tc>
          <w:tcPr>
            <w:tcW w:w="796" w:type="pct"/>
            <w:tcBorders>
              <w:top w:val="single" w:sz="4" w:space="0" w:color="auto"/>
              <w:left w:val="single" w:sz="4" w:space="0" w:color="auto"/>
              <w:bottom w:val="single" w:sz="4" w:space="0" w:color="auto"/>
              <w:right w:val="single" w:sz="4" w:space="0" w:color="auto"/>
            </w:tcBorders>
          </w:tcPr>
          <w:p w:rsidR="009C5765" w:rsidRPr="00B32849" w:rsidRDefault="009C5765" w:rsidP="009C5765">
            <w:pPr>
              <w:pStyle w:val="RepTable"/>
              <w:rPr>
                <w:noProof w:val="0"/>
              </w:rPr>
            </w:pPr>
            <w:r>
              <w:rPr>
                <w:noProof w:val="0"/>
                <w:highlight w:val="cyan"/>
              </w:rPr>
              <w:t>Oct 2024</w:t>
            </w:r>
          </w:p>
        </w:tc>
        <w:tc>
          <w:tcPr>
            <w:tcW w:w="4204" w:type="pct"/>
            <w:tcBorders>
              <w:top w:val="single" w:sz="4" w:space="0" w:color="auto"/>
              <w:left w:val="single" w:sz="4" w:space="0" w:color="auto"/>
              <w:bottom w:val="single" w:sz="4" w:space="0" w:color="auto"/>
              <w:right w:val="single" w:sz="4" w:space="0" w:color="auto"/>
            </w:tcBorders>
          </w:tcPr>
          <w:p w:rsidR="009C5765" w:rsidRPr="00B32849" w:rsidRDefault="009C5765" w:rsidP="009C5765">
            <w:pPr>
              <w:pStyle w:val="RepTable"/>
              <w:rPr>
                <w:noProof w:val="0"/>
              </w:rPr>
            </w:pPr>
            <w:r>
              <w:rPr>
                <w:noProof w:val="0"/>
                <w:highlight w:val="cyan"/>
              </w:rPr>
              <w:t>Updated by applicant on request of zRMS to include information on metabolite AE F160459</w:t>
            </w:r>
          </w:p>
        </w:tc>
      </w:tr>
      <w:tr w:rsidR="001837A3" w:rsidRPr="00B32849" w:rsidTr="001837A3">
        <w:tc>
          <w:tcPr>
            <w:tcW w:w="796" w:type="pct"/>
            <w:tcBorders>
              <w:top w:val="single" w:sz="4" w:space="0" w:color="auto"/>
              <w:left w:val="single" w:sz="4" w:space="0" w:color="auto"/>
              <w:bottom w:val="single" w:sz="4" w:space="0" w:color="auto"/>
              <w:right w:val="single" w:sz="4" w:space="0" w:color="auto"/>
            </w:tcBorders>
          </w:tcPr>
          <w:p w:rsidR="001837A3" w:rsidRPr="00A27237" w:rsidRDefault="001837A3" w:rsidP="00936FBA">
            <w:pPr>
              <w:pStyle w:val="RepTable"/>
              <w:rPr>
                <w:noProof w:val="0"/>
                <w:highlight w:val="darkYellow"/>
              </w:rPr>
            </w:pPr>
            <w:r w:rsidRPr="00A27237">
              <w:rPr>
                <w:noProof w:val="0"/>
                <w:highlight w:val="darkYellow"/>
              </w:rPr>
              <w:t>October 2024</w:t>
            </w:r>
          </w:p>
        </w:tc>
        <w:tc>
          <w:tcPr>
            <w:tcW w:w="4204" w:type="pct"/>
            <w:tcBorders>
              <w:top w:val="single" w:sz="4" w:space="0" w:color="auto"/>
              <w:left w:val="single" w:sz="4" w:space="0" w:color="auto"/>
              <w:bottom w:val="single" w:sz="4" w:space="0" w:color="auto"/>
              <w:right w:val="single" w:sz="4" w:space="0" w:color="auto"/>
            </w:tcBorders>
          </w:tcPr>
          <w:p w:rsidR="001837A3" w:rsidRPr="00A27237" w:rsidRDefault="001837A3" w:rsidP="00936FBA">
            <w:pPr>
              <w:pStyle w:val="RepTable"/>
              <w:rPr>
                <w:noProof w:val="0"/>
                <w:highlight w:val="blue"/>
              </w:rPr>
            </w:pPr>
            <w:r w:rsidRPr="00A27237">
              <w:rPr>
                <w:noProof w:val="0"/>
                <w:highlight w:val="darkYellow"/>
              </w:rPr>
              <w:t>Updated by expert</w:t>
            </w:r>
          </w:p>
        </w:tc>
      </w:tr>
    </w:tbl>
    <w:p w:rsidR="00E83884" w:rsidRPr="00B32849" w:rsidRDefault="00E83884" w:rsidP="002442E5">
      <w:pPr>
        <w:pStyle w:val="RepStandard"/>
      </w:pPr>
    </w:p>
    <w:p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rsidR="00D824B9" w:rsidRDefault="00772379">
      <w:pPr>
        <w:pStyle w:val="Spistreci1"/>
        <w:rPr>
          <w:rFonts w:asciiTheme="minorHAnsi" w:eastAsiaTheme="minorEastAsia" w:hAnsiTheme="minorHAnsi" w:cstheme="minorBidi"/>
          <w:b w:val="0"/>
          <w:kern w:val="2"/>
          <w:szCs w:val="24"/>
          <w:lang w:val="pl-PL" w:eastAsia="pl-PL"/>
        </w:rPr>
      </w:pPr>
      <w:r w:rsidRPr="00772379">
        <w:fldChar w:fldCharType="begin"/>
      </w:r>
      <w:r w:rsidR="00495F42">
        <w:instrText xml:space="preserve"> TOC \o "1-4" \h \z \t "Rep Appendix 3;3" </w:instrText>
      </w:r>
      <w:r w:rsidRPr="00772379">
        <w:fldChar w:fldCharType="separate"/>
      </w:r>
      <w:hyperlink w:anchor="_Toc179811284" w:history="1">
        <w:r w:rsidR="00D824B9" w:rsidRPr="00064131">
          <w:rPr>
            <w:rStyle w:val="Hipercze"/>
          </w:rPr>
          <w:t>6</w:t>
        </w:r>
        <w:r w:rsidR="00D824B9">
          <w:rPr>
            <w:rFonts w:asciiTheme="minorHAnsi" w:eastAsiaTheme="minorEastAsia" w:hAnsiTheme="minorHAnsi" w:cstheme="minorBidi"/>
            <w:b w:val="0"/>
            <w:kern w:val="2"/>
            <w:szCs w:val="24"/>
            <w:lang w:val="pl-PL" w:eastAsia="pl-PL"/>
          </w:rPr>
          <w:tab/>
        </w:r>
        <w:r w:rsidR="00D824B9" w:rsidRPr="00064131">
          <w:rPr>
            <w:rStyle w:val="Hipercze"/>
          </w:rPr>
          <w:t>Mammalian Toxicology (KCP 7)</w:t>
        </w:r>
        <w:r w:rsidR="00D824B9">
          <w:rPr>
            <w:webHidden/>
          </w:rPr>
          <w:tab/>
        </w:r>
        <w:r>
          <w:rPr>
            <w:webHidden/>
          </w:rPr>
          <w:fldChar w:fldCharType="begin"/>
        </w:r>
        <w:r w:rsidR="00D824B9">
          <w:rPr>
            <w:webHidden/>
          </w:rPr>
          <w:instrText xml:space="preserve"> PAGEREF _Toc179811284 \h </w:instrText>
        </w:r>
        <w:r>
          <w:rPr>
            <w:webHidden/>
          </w:rPr>
        </w:r>
        <w:r>
          <w:rPr>
            <w:webHidden/>
          </w:rPr>
          <w:fldChar w:fldCharType="separate"/>
        </w:r>
        <w:r w:rsidR="00D824B9">
          <w:rPr>
            <w:webHidden/>
          </w:rPr>
          <w:t>5</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85" w:history="1">
        <w:r w:rsidR="00D824B9" w:rsidRPr="00064131">
          <w:rPr>
            <w:rStyle w:val="Hipercze"/>
          </w:rPr>
          <w:t>6.1</w:t>
        </w:r>
        <w:r w:rsidR="00D824B9">
          <w:rPr>
            <w:rFonts w:asciiTheme="minorHAnsi" w:eastAsiaTheme="minorEastAsia" w:hAnsiTheme="minorHAnsi" w:cstheme="minorBidi"/>
            <w:kern w:val="2"/>
            <w:szCs w:val="24"/>
            <w:lang w:val="pl-PL" w:eastAsia="pl-PL"/>
          </w:rPr>
          <w:tab/>
        </w:r>
        <w:r w:rsidR="00D824B9" w:rsidRPr="00064131">
          <w:rPr>
            <w:rStyle w:val="Hipercze"/>
          </w:rPr>
          <w:t>Summary</w:t>
        </w:r>
        <w:r w:rsidR="00D824B9">
          <w:rPr>
            <w:webHidden/>
          </w:rPr>
          <w:tab/>
        </w:r>
        <w:r>
          <w:rPr>
            <w:webHidden/>
          </w:rPr>
          <w:fldChar w:fldCharType="begin"/>
        </w:r>
        <w:r w:rsidR="00D824B9">
          <w:rPr>
            <w:webHidden/>
          </w:rPr>
          <w:instrText xml:space="preserve"> PAGEREF _Toc179811285 \h </w:instrText>
        </w:r>
        <w:r>
          <w:rPr>
            <w:webHidden/>
          </w:rPr>
        </w:r>
        <w:r>
          <w:rPr>
            <w:webHidden/>
          </w:rPr>
          <w:fldChar w:fldCharType="separate"/>
        </w:r>
        <w:r w:rsidR="00D824B9">
          <w:rPr>
            <w:webHidden/>
          </w:rPr>
          <w:t>6</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86" w:history="1">
        <w:r w:rsidR="00D824B9" w:rsidRPr="00064131">
          <w:rPr>
            <w:rStyle w:val="Hipercze"/>
          </w:rPr>
          <w:t>6.2</w:t>
        </w:r>
        <w:r w:rsidR="00D824B9">
          <w:rPr>
            <w:rFonts w:asciiTheme="minorHAnsi" w:eastAsiaTheme="minorEastAsia" w:hAnsiTheme="minorHAnsi" w:cstheme="minorBidi"/>
            <w:kern w:val="2"/>
            <w:szCs w:val="24"/>
            <w:lang w:val="pl-PL" w:eastAsia="pl-PL"/>
          </w:rPr>
          <w:tab/>
        </w:r>
        <w:r w:rsidR="00D824B9" w:rsidRPr="00064131">
          <w:rPr>
            <w:rStyle w:val="Hipercze"/>
          </w:rPr>
          <w:t>Toxicological Information on Active Substance(s)</w:t>
        </w:r>
        <w:r w:rsidR="00D824B9">
          <w:rPr>
            <w:webHidden/>
          </w:rPr>
          <w:tab/>
        </w:r>
        <w:r>
          <w:rPr>
            <w:webHidden/>
          </w:rPr>
          <w:fldChar w:fldCharType="begin"/>
        </w:r>
        <w:r w:rsidR="00D824B9">
          <w:rPr>
            <w:webHidden/>
          </w:rPr>
          <w:instrText xml:space="preserve"> PAGEREF _Toc179811286 \h </w:instrText>
        </w:r>
        <w:r>
          <w:rPr>
            <w:webHidden/>
          </w:rPr>
        </w:r>
        <w:r>
          <w:rPr>
            <w:webHidden/>
          </w:rPr>
          <w:fldChar w:fldCharType="separate"/>
        </w:r>
        <w:r w:rsidR="00D824B9">
          <w:rPr>
            <w:webHidden/>
          </w:rPr>
          <w:t>9</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87" w:history="1">
        <w:r w:rsidR="00D824B9" w:rsidRPr="00064131">
          <w:rPr>
            <w:rStyle w:val="Hipercze"/>
          </w:rPr>
          <w:t>6.3</w:t>
        </w:r>
        <w:r w:rsidR="00D824B9">
          <w:rPr>
            <w:rFonts w:asciiTheme="minorHAnsi" w:eastAsiaTheme="minorEastAsia" w:hAnsiTheme="minorHAnsi" w:cstheme="minorBidi"/>
            <w:kern w:val="2"/>
            <w:szCs w:val="24"/>
            <w:lang w:val="pl-PL" w:eastAsia="pl-PL"/>
          </w:rPr>
          <w:tab/>
        </w:r>
        <w:r w:rsidR="00D824B9" w:rsidRPr="00064131">
          <w:rPr>
            <w:rStyle w:val="Hipercze"/>
          </w:rPr>
          <w:t>Toxicological Evaluation of Plant Protection Product</w:t>
        </w:r>
        <w:r w:rsidR="00D824B9">
          <w:rPr>
            <w:webHidden/>
          </w:rPr>
          <w:tab/>
        </w:r>
        <w:r>
          <w:rPr>
            <w:webHidden/>
          </w:rPr>
          <w:fldChar w:fldCharType="begin"/>
        </w:r>
        <w:r w:rsidR="00D824B9">
          <w:rPr>
            <w:webHidden/>
          </w:rPr>
          <w:instrText xml:space="preserve"> PAGEREF _Toc179811287 \h </w:instrText>
        </w:r>
        <w:r>
          <w:rPr>
            <w:webHidden/>
          </w:rPr>
        </w:r>
        <w:r>
          <w:rPr>
            <w:webHidden/>
          </w:rPr>
          <w:fldChar w:fldCharType="separate"/>
        </w:r>
        <w:r w:rsidR="00D824B9">
          <w:rPr>
            <w:webHidden/>
          </w:rPr>
          <w:t>9</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88" w:history="1">
        <w:r w:rsidR="00D824B9" w:rsidRPr="00064131">
          <w:rPr>
            <w:rStyle w:val="Hipercze"/>
          </w:rPr>
          <w:t>6.4</w:t>
        </w:r>
        <w:r w:rsidR="00D824B9">
          <w:rPr>
            <w:rFonts w:asciiTheme="minorHAnsi" w:eastAsiaTheme="minorEastAsia" w:hAnsiTheme="minorHAnsi" w:cstheme="minorBidi"/>
            <w:kern w:val="2"/>
            <w:szCs w:val="24"/>
            <w:lang w:val="pl-PL" w:eastAsia="pl-PL"/>
          </w:rPr>
          <w:tab/>
        </w:r>
        <w:r w:rsidR="00D824B9" w:rsidRPr="00064131">
          <w:rPr>
            <w:rStyle w:val="Hipercze"/>
          </w:rPr>
          <w:t>Toxicological Evaluation of Groundwater Metabolites</w:t>
        </w:r>
        <w:r w:rsidR="00D824B9">
          <w:rPr>
            <w:webHidden/>
          </w:rPr>
          <w:tab/>
        </w:r>
        <w:r>
          <w:rPr>
            <w:webHidden/>
          </w:rPr>
          <w:fldChar w:fldCharType="begin"/>
        </w:r>
        <w:r w:rsidR="00D824B9">
          <w:rPr>
            <w:webHidden/>
          </w:rPr>
          <w:instrText xml:space="preserve"> PAGEREF _Toc179811288 \h </w:instrText>
        </w:r>
        <w:r>
          <w:rPr>
            <w:webHidden/>
          </w:rPr>
        </w:r>
        <w:r>
          <w:rPr>
            <w:webHidden/>
          </w:rPr>
          <w:fldChar w:fldCharType="separate"/>
        </w:r>
        <w:r w:rsidR="00D824B9">
          <w:rPr>
            <w:webHidden/>
          </w:rPr>
          <w:t>11</w:t>
        </w:r>
        <w:r>
          <w:rPr>
            <w:webHidden/>
          </w:rPr>
          <w:fldChar w:fldCharType="end"/>
        </w:r>
      </w:hyperlink>
    </w:p>
    <w:p w:rsidR="00D824B9" w:rsidRPr="00A27237" w:rsidRDefault="00772379">
      <w:pPr>
        <w:pStyle w:val="Spistreci3"/>
        <w:rPr>
          <w:rFonts w:asciiTheme="minorHAnsi" w:eastAsiaTheme="minorEastAsia" w:hAnsiTheme="minorHAnsi" w:cstheme="minorBidi"/>
          <w:kern w:val="2"/>
          <w:szCs w:val="24"/>
          <w:lang w:val="pl-PL" w:eastAsia="pl-PL"/>
        </w:rPr>
      </w:pPr>
      <w:hyperlink w:anchor="_Toc179811289" w:history="1">
        <w:r w:rsidR="00D824B9" w:rsidRPr="00A27237">
          <w:rPr>
            <w:rStyle w:val="Hipercze"/>
          </w:rPr>
          <w:t>6.4.1</w:t>
        </w:r>
        <w:r w:rsidR="00D824B9" w:rsidRPr="00A27237">
          <w:rPr>
            <w:rFonts w:asciiTheme="minorHAnsi" w:eastAsiaTheme="minorEastAsia" w:hAnsiTheme="minorHAnsi" w:cstheme="minorBidi"/>
            <w:kern w:val="2"/>
            <w:szCs w:val="24"/>
            <w:lang w:val="pl-PL" w:eastAsia="pl-PL"/>
          </w:rPr>
          <w:tab/>
        </w:r>
        <w:r w:rsidR="00D824B9" w:rsidRPr="00A27237">
          <w:rPr>
            <w:rStyle w:val="Hipercze"/>
          </w:rPr>
          <w:t>Metabolite 1 - AE F160459, metabolite of mesosulfuron-methyl</w:t>
        </w:r>
        <w:r w:rsidR="00D824B9" w:rsidRPr="00A27237">
          <w:rPr>
            <w:webHidden/>
          </w:rPr>
          <w:tab/>
        </w:r>
        <w:r w:rsidRPr="00A27237">
          <w:rPr>
            <w:webHidden/>
          </w:rPr>
          <w:fldChar w:fldCharType="begin"/>
        </w:r>
        <w:r w:rsidR="00D824B9" w:rsidRPr="00A27237">
          <w:rPr>
            <w:webHidden/>
          </w:rPr>
          <w:instrText xml:space="preserve"> PAGEREF _Toc179811289 \h </w:instrText>
        </w:r>
        <w:r w:rsidRPr="00A27237">
          <w:rPr>
            <w:webHidden/>
          </w:rPr>
        </w:r>
        <w:r w:rsidRPr="00A27237">
          <w:rPr>
            <w:webHidden/>
          </w:rPr>
          <w:fldChar w:fldCharType="separate"/>
        </w:r>
        <w:r w:rsidR="00D824B9" w:rsidRPr="00A27237">
          <w:rPr>
            <w:webHidden/>
          </w:rPr>
          <w:t>11</w:t>
        </w:r>
        <w:r w:rsidRPr="00A27237">
          <w:rPr>
            <w:webHidden/>
          </w:rPr>
          <w:fldChar w:fldCharType="end"/>
        </w:r>
      </w:hyperlink>
    </w:p>
    <w:p w:rsidR="00D824B9" w:rsidRPr="00A27237" w:rsidRDefault="00772379">
      <w:pPr>
        <w:pStyle w:val="Spistreci3"/>
        <w:rPr>
          <w:rFonts w:asciiTheme="minorHAnsi" w:eastAsiaTheme="minorEastAsia" w:hAnsiTheme="minorHAnsi" w:cstheme="minorBidi"/>
          <w:kern w:val="2"/>
          <w:szCs w:val="24"/>
          <w:lang w:val="pl-PL" w:eastAsia="pl-PL"/>
        </w:rPr>
      </w:pPr>
      <w:hyperlink w:anchor="_Toc179811290" w:history="1">
        <w:r w:rsidR="00D824B9" w:rsidRPr="00A27237">
          <w:rPr>
            <w:rStyle w:val="Hipercze"/>
          </w:rPr>
          <w:t>6.4.2</w:t>
        </w:r>
        <w:r w:rsidR="00D824B9" w:rsidRPr="00A27237">
          <w:rPr>
            <w:rFonts w:asciiTheme="minorHAnsi" w:eastAsiaTheme="minorEastAsia" w:hAnsiTheme="minorHAnsi" w:cstheme="minorBidi"/>
            <w:kern w:val="2"/>
            <w:szCs w:val="24"/>
            <w:lang w:val="pl-PL" w:eastAsia="pl-PL"/>
          </w:rPr>
          <w:tab/>
        </w:r>
        <w:r w:rsidR="00D824B9" w:rsidRPr="00A27237">
          <w:rPr>
            <w:rStyle w:val="Hipercze"/>
          </w:rPr>
          <w:t>Metabolite 2 - AE F160460, metabolite of mesosulfuron-methyl</w:t>
        </w:r>
        <w:r w:rsidR="00D824B9" w:rsidRPr="00A27237">
          <w:rPr>
            <w:webHidden/>
          </w:rPr>
          <w:tab/>
        </w:r>
        <w:r w:rsidRPr="00A27237">
          <w:rPr>
            <w:webHidden/>
          </w:rPr>
          <w:fldChar w:fldCharType="begin"/>
        </w:r>
        <w:r w:rsidR="00D824B9" w:rsidRPr="00A27237">
          <w:rPr>
            <w:webHidden/>
          </w:rPr>
          <w:instrText xml:space="preserve"> PAGEREF _Toc179811290 \h </w:instrText>
        </w:r>
        <w:r w:rsidRPr="00A27237">
          <w:rPr>
            <w:webHidden/>
          </w:rPr>
        </w:r>
        <w:r w:rsidRPr="00A27237">
          <w:rPr>
            <w:webHidden/>
          </w:rPr>
          <w:fldChar w:fldCharType="separate"/>
        </w:r>
        <w:r w:rsidR="00D824B9" w:rsidRPr="00A27237">
          <w:rPr>
            <w:webHidden/>
          </w:rPr>
          <w:t>12</w:t>
        </w:r>
        <w:r w:rsidRPr="00A27237">
          <w:rPr>
            <w:webHidden/>
          </w:rPr>
          <w:fldChar w:fldCharType="end"/>
        </w:r>
      </w:hyperlink>
    </w:p>
    <w:p w:rsidR="00D824B9" w:rsidRPr="00A27237" w:rsidRDefault="00772379">
      <w:pPr>
        <w:pStyle w:val="Spistreci3"/>
        <w:rPr>
          <w:rFonts w:asciiTheme="minorHAnsi" w:eastAsiaTheme="minorEastAsia" w:hAnsiTheme="minorHAnsi" w:cstheme="minorBidi"/>
          <w:kern w:val="2"/>
          <w:szCs w:val="24"/>
          <w:lang w:val="pl-PL" w:eastAsia="pl-PL"/>
        </w:rPr>
      </w:pPr>
      <w:hyperlink w:anchor="_Toc179811291" w:history="1">
        <w:r w:rsidR="00D824B9" w:rsidRPr="00A27237">
          <w:rPr>
            <w:rStyle w:val="Hipercze"/>
          </w:rPr>
          <w:t>6.4.3</w:t>
        </w:r>
        <w:r w:rsidR="00D824B9" w:rsidRPr="00A27237">
          <w:rPr>
            <w:rFonts w:asciiTheme="minorHAnsi" w:eastAsiaTheme="minorEastAsia" w:hAnsiTheme="minorHAnsi" w:cstheme="minorBidi"/>
            <w:kern w:val="2"/>
            <w:szCs w:val="24"/>
            <w:lang w:val="pl-PL" w:eastAsia="pl-PL"/>
          </w:rPr>
          <w:tab/>
        </w:r>
        <w:r w:rsidR="00D824B9" w:rsidRPr="00A27237">
          <w:rPr>
            <w:rStyle w:val="Hipercze"/>
          </w:rPr>
          <w:t>Metabolite 3 - AE F147447, metabolite of mesosulfuron-methyl</w:t>
        </w:r>
        <w:r w:rsidR="00D824B9" w:rsidRPr="00A27237">
          <w:rPr>
            <w:webHidden/>
          </w:rPr>
          <w:tab/>
        </w:r>
        <w:r w:rsidRPr="00A27237">
          <w:rPr>
            <w:webHidden/>
          </w:rPr>
          <w:fldChar w:fldCharType="begin"/>
        </w:r>
        <w:r w:rsidR="00D824B9" w:rsidRPr="00A27237">
          <w:rPr>
            <w:webHidden/>
          </w:rPr>
          <w:instrText xml:space="preserve"> PAGEREF _Toc179811291 \h </w:instrText>
        </w:r>
        <w:r w:rsidRPr="00A27237">
          <w:rPr>
            <w:webHidden/>
          </w:rPr>
        </w:r>
        <w:r w:rsidRPr="00A27237">
          <w:rPr>
            <w:webHidden/>
          </w:rPr>
          <w:fldChar w:fldCharType="separate"/>
        </w:r>
        <w:r w:rsidR="00D824B9" w:rsidRPr="00A27237">
          <w:rPr>
            <w:webHidden/>
          </w:rPr>
          <w:t>12</w:t>
        </w:r>
        <w:r w:rsidRPr="00A27237">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2" w:history="1">
        <w:r w:rsidR="00D824B9" w:rsidRPr="00A27237">
          <w:rPr>
            <w:rStyle w:val="Hipercze"/>
          </w:rPr>
          <w:t>6.4.4</w:t>
        </w:r>
        <w:r w:rsidR="00D824B9" w:rsidRPr="00A27237">
          <w:rPr>
            <w:rFonts w:asciiTheme="minorHAnsi" w:eastAsiaTheme="minorEastAsia" w:hAnsiTheme="minorHAnsi" w:cstheme="minorBidi"/>
            <w:kern w:val="2"/>
            <w:szCs w:val="24"/>
            <w:lang w:val="pl-PL" w:eastAsia="pl-PL"/>
          </w:rPr>
          <w:tab/>
        </w:r>
        <w:r w:rsidR="00D824B9" w:rsidRPr="00A27237">
          <w:rPr>
            <w:rStyle w:val="Hipercze"/>
          </w:rPr>
          <w:t>Metabolite 4 - BCS-CV14885, metabolite of mesosulfuron-methyl</w:t>
        </w:r>
        <w:r w:rsidR="00D824B9" w:rsidRPr="00A27237">
          <w:rPr>
            <w:webHidden/>
          </w:rPr>
          <w:tab/>
        </w:r>
        <w:r w:rsidRPr="00A27237">
          <w:rPr>
            <w:webHidden/>
          </w:rPr>
          <w:fldChar w:fldCharType="begin"/>
        </w:r>
        <w:r w:rsidR="00D824B9" w:rsidRPr="00A27237">
          <w:rPr>
            <w:webHidden/>
          </w:rPr>
          <w:instrText xml:space="preserve"> PAGEREF _Toc179811292 \h </w:instrText>
        </w:r>
        <w:r w:rsidRPr="00A27237">
          <w:rPr>
            <w:webHidden/>
          </w:rPr>
        </w:r>
        <w:r w:rsidRPr="00A27237">
          <w:rPr>
            <w:webHidden/>
          </w:rPr>
          <w:fldChar w:fldCharType="separate"/>
        </w:r>
        <w:r w:rsidR="00D824B9" w:rsidRPr="00A27237">
          <w:rPr>
            <w:webHidden/>
          </w:rPr>
          <w:t>12</w:t>
        </w:r>
        <w:r w:rsidRPr="00A27237">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93" w:history="1">
        <w:r w:rsidR="00D824B9" w:rsidRPr="00064131">
          <w:rPr>
            <w:rStyle w:val="Hipercze"/>
          </w:rPr>
          <w:t>6.5</w:t>
        </w:r>
        <w:r w:rsidR="00D824B9">
          <w:rPr>
            <w:rFonts w:asciiTheme="minorHAnsi" w:eastAsiaTheme="minorEastAsia" w:hAnsiTheme="minorHAnsi" w:cstheme="minorBidi"/>
            <w:kern w:val="2"/>
            <w:szCs w:val="24"/>
            <w:lang w:val="pl-PL" w:eastAsia="pl-PL"/>
          </w:rPr>
          <w:tab/>
        </w:r>
        <w:r w:rsidR="00D824B9" w:rsidRPr="00064131">
          <w:rPr>
            <w:rStyle w:val="Hipercze"/>
          </w:rPr>
          <w:t>Dermal Absorption (KCP 7.3)</w:t>
        </w:r>
        <w:r w:rsidR="00D824B9">
          <w:rPr>
            <w:webHidden/>
          </w:rPr>
          <w:tab/>
        </w:r>
        <w:r>
          <w:rPr>
            <w:webHidden/>
          </w:rPr>
          <w:fldChar w:fldCharType="begin"/>
        </w:r>
        <w:r w:rsidR="00D824B9">
          <w:rPr>
            <w:webHidden/>
          </w:rPr>
          <w:instrText xml:space="preserve"> PAGEREF _Toc179811293 \h </w:instrText>
        </w:r>
        <w:r>
          <w:rPr>
            <w:webHidden/>
          </w:rPr>
        </w:r>
        <w:r>
          <w:rPr>
            <w:webHidden/>
          </w:rPr>
          <w:fldChar w:fldCharType="separate"/>
        </w:r>
        <w:r w:rsidR="00D824B9">
          <w:rPr>
            <w:webHidden/>
          </w:rPr>
          <w:t>13</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4" w:history="1">
        <w:r w:rsidR="00D824B9" w:rsidRPr="00064131">
          <w:rPr>
            <w:rStyle w:val="Hipercze"/>
          </w:rPr>
          <w:t>6.5.1</w:t>
        </w:r>
        <w:r w:rsidR="00D824B9">
          <w:rPr>
            <w:rFonts w:asciiTheme="minorHAnsi" w:eastAsiaTheme="minorEastAsia" w:hAnsiTheme="minorHAnsi" w:cstheme="minorBidi"/>
            <w:kern w:val="2"/>
            <w:szCs w:val="24"/>
            <w:lang w:val="pl-PL" w:eastAsia="pl-PL"/>
          </w:rPr>
          <w:tab/>
        </w:r>
        <w:r w:rsidR="00D824B9" w:rsidRPr="00064131">
          <w:rPr>
            <w:rStyle w:val="Hipercze"/>
          </w:rPr>
          <w:t>Justification for proposed values – Iodosulfuron-methyl-sodium</w:t>
        </w:r>
        <w:r w:rsidR="00D824B9">
          <w:rPr>
            <w:webHidden/>
          </w:rPr>
          <w:tab/>
        </w:r>
        <w:r>
          <w:rPr>
            <w:webHidden/>
          </w:rPr>
          <w:fldChar w:fldCharType="begin"/>
        </w:r>
        <w:r w:rsidR="00D824B9">
          <w:rPr>
            <w:webHidden/>
          </w:rPr>
          <w:instrText xml:space="preserve"> PAGEREF _Toc179811294 \h </w:instrText>
        </w:r>
        <w:r>
          <w:rPr>
            <w:webHidden/>
          </w:rPr>
        </w:r>
        <w:r>
          <w:rPr>
            <w:webHidden/>
          </w:rPr>
          <w:fldChar w:fldCharType="separate"/>
        </w:r>
        <w:r w:rsidR="00D824B9">
          <w:rPr>
            <w:webHidden/>
          </w:rPr>
          <w:t>13</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5" w:history="1">
        <w:r w:rsidR="00D824B9" w:rsidRPr="00064131">
          <w:rPr>
            <w:rStyle w:val="Hipercze"/>
          </w:rPr>
          <w:t>6.5.2</w:t>
        </w:r>
        <w:r w:rsidR="00D824B9">
          <w:rPr>
            <w:rFonts w:asciiTheme="minorHAnsi" w:eastAsiaTheme="minorEastAsia" w:hAnsiTheme="minorHAnsi" w:cstheme="minorBidi"/>
            <w:kern w:val="2"/>
            <w:szCs w:val="24"/>
            <w:lang w:val="pl-PL" w:eastAsia="pl-PL"/>
          </w:rPr>
          <w:tab/>
        </w:r>
        <w:r w:rsidR="00D824B9" w:rsidRPr="00064131">
          <w:rPr>
            <w:rStyle w:val="Hipercze"/>
          </w:rPr>
          <w:t>Justification for proposed values – Mesosulfuron-methyl</w:t>
        </w:r>
        <w:r w:rsidR="00D824B9">
          <w:rPr>
            <w:webHidden/>
          </w:rPr>
          <w:tab/>
        </w:r>
        <w:r>
          <w:rPr>
            <w:webHidden/>
          </w:rPr>
          <w:fldChar w:fldCharType="begin"/>
        </w:r>
        <w:r w:rsidR="00D824B9">
          <w:rPr>
            <w:webHidden/>
          </w:rPr>
          <w:instrText xml:space="preserve"> PAGEREF _Toc179811295 \h </w:instrText>
        </w:r>
        <w:r>
          <w:rPr>
            <w:webHidden/>
          </w:rPr>
        </w:r>
        <w:r>
          <w:rPr>
            <w:webHidden/>
          </w:rPr>
          <w:fldChar w:fldCharType="separate"/>
        </w:r>
        <w:r w:rsidR="00D824B9">
          <w:rPr>
            <w:webHidden/>
          </w:rPr>
          <w:t>13</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6" w:history="1">
        <w:r w:rsidR="00D824B9" w:rsidRPr="00064131">
          <w:rPr>
            <w:rStyle w:val="Hipercze"/>
          </w:rPr>
          <w:t>6.5.3</w:t>
        </w:r>
        <w:r w:rsidR="00D824B9">
          <w:rPr>
            <w:rFonts w:asciiTheme="minorHAnsi" w:eastAsiaTheme="minorEastAsia" w:hAnsiTheme="minorHAnsi" w:cstheme="minorBidi"/>
            <w:kern w:val="2"/>
            <w:szCs w:val="24"/>
            <w:lang w:val="pl-PL" w:eastAsia="pl-PL"/>
          </w:rPr>
          <w:tab/>
        </w:r>
        <w:r w:rsidR="00D824B9" w:rsidRPr="00064131">
          <w:rPr>
            <w:rStyle w:val="Hipercze"/>
          </w:rPr>
          <w:t>Justification for proposed values – Mefenpyr-diethyl</w:t>
        </w:r>
        <w:r w:rsidR="00D824B9">
          <w:rPr>
            <w:webHidden/>
          </w:rPr>
          <w:tab/>
        </w:r>
        <w:r>
          <w:rPr>
            <w:webHidden/>
          </w:rPr>
          <w:fldChar w:fldCharType="begin"/>
        </w:r>
        <w:r w:rsidR="00D824B9">
          <w:rPr>
            <w:webHidden/>
          </w:rPr>
          <w:instrText xml:space="preserve"> PAGEREF _Toc179811296 \h </w:instrText>
        </w:r>
        <w:r>
          <w:rPr>
            <w:webHidden/>
          </w:rPr>
        </w:r>
        <w:r>
          <w:rPr>
            <w:webHidden/>
          </w:rPr>
          <w:fldChar w:fldCharType="separate"/>
        </w:r>
        <w:r w:rsidR="00D824B9">
          <w:rPr>
            <w:webHidden/>
          </w:rPr>
          <w:t>13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297" w:history="1">
        <w:r w:rsidR="00D824B9" w:rsidRPr="00064131">
          <w:rPr>
            <w:rStyle w:val="Hipercze"/>
          </w:rPr>
          <w:t>6.6</w:t>
        </w:r>
        <w:r w:rsidR="00D824B9">
          <w:rPr>
            <w:rFonts w:asciiTheme="minorHAnsi" w:eastAsiaTheme="minorEastAsia" w:hAnsiTheme="minorHAnsi" w:cstheme="minorBidi"/>
            <w:kern w:val="2"/>
            <w:szCs w:val="24"/>
            <w:lang w:val="pl-PL" w:eastAsia="pl-PL"/>
          </w:rPr>
          <w:tab/>
        </w:r>
        <w:r w:rsidR="00D824B9" w:rsidRPr="00064131">
          <w:rPr>
            <w:rStyle w:val="Hipercze"/>
          </w:rPr>
          <w:t>Exposure Assessment of Plant Protection Product (KCP 7.2)</w:t>
        </w:r>
        <w:r w:rsidR="00D824B9">
          <w:rPr>
            <w:webHidden/>
          </w:rPr>
          <w:tab/>
        </w:r>
        <w:r>
          <w:rPr>
            <w:webHidden/>
          </w:rPr>
          <w:fldChar w:fldCharType="begin"/>
        </w:r>
        <w:r w:rsidR="00D824B9">
          <w:rPr>
            <w:webHidden/>
          </w:rPr>
          <w:instrText xml:space="preserve"> PAGEREF _Toc179811297 \h </w:instrText>
        </w:r>
        <w:r>
          <w:rPr>
            <w:webHidden/>
          </w:rPr>
        </w:r>
        <w:r>
          <w:rPr>
            <w:webHidden/>
          </w:rPr>
          <w:fldChar w:fldCharType="separate"/>
        </w:r>
        <w:r w:rsidR="00D824B9">
          <w:rPr>
            <w:webHidden/>
          </w:rPr>
          <w:t>13</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8" w:history="1">
        <w:r w:rsidR="00D824B9" w:rsidRPr="00064131">
          <w:rPr>
            <w:rStyle w:val="Hipercze"/>
            <w:lang w:val="en-IE" w:eastAsia="en-IE"/>
          </w:rPr>
          <w:t>6.6.1</w:t>
        </w:r>
        <w:r w:rsidR="00D824B9">
          <w:rPr>
            <w:rFonts w:asciiTheme="minorHAnsi" w:eastAsiaTheme="minorEastAsia" w:hAnsiTheme="minorHAnsi" w:cstheme="minorBidi"/>
            <w:kern w:val="2"/>
            <w:szCs w:val="24"/>
            <w:lang w:val="pl-PL" w:eastAsia="pl-PL"/>
          </w:rPr>
          <w:tab/>
        </w:r>
        <w:r w:rsidR="00D824B9" w:rsidRPr="00064131">
          <w:rPr>
            <w:rStyle w:val="Hipercze"/>
            <w:lang w:val="en-IE" w:eastAsia="en-IE"/>
          </w:rPr>
          <w:t>Selection of critical use(s) and justification</w:t>
        </w:r>
        <w:r w:rsidR="00D824B9">
          <w:rPr>
            <w:webHidden/>
          </w:rPr>
          <w:tab/>
        </w:r>
        <w:r>
          <w:rPr>
            <w:webHidden/>
          </w:rPr>
          <w:fldChar w:fldCharType="begin"/>
        </w:r>
        <w:r w:rsidR="00D824B9">
          <w:rPr>
            <w:webHidden/>
          </w:rPr>
          <w:instrText xml:space="preserve"> PAGEREF _Toc179811298 \h </w:instrText>
        </w:r>
        <w:r>
          <w:rPr>
            <w:webHidden/>
          </w:rPr>
        </w:r>
        <w:r>
          <w:rPr>
            <w:webHidden/>
          </w:rPr>
          <w:fldChar w:fldCharType="separate"/>
        </w:r>
        <w:r w:rsidR="00D824B9">
          <w:rPr>
            <w:webHidden/>
          </w:rPr>
          <w:t>15</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299" w:history="1">
        <w:r w:rsidR="00D824B9" w:rsidRPr="00064131">
          <w:rPr>
            <w:rStyle w:val="Hipercze"/>
          </w:rPr>
          <w:t>6.6.2</w:t>
        </w:r>
        <w:r w:rsidR="00D824B9">
          <w:rPr>
            <w:rFonts w:asciiTheme="minorHAnsi" w:eastAsiaTheme="minorEastAsia" w:hAnsiTheme="minorHAnsi" w:cstheme="minorBidi"/>
            <w:kern w:val="2"/>
            <w:szCs w:val="24"/>
            <w:lang w:val="pl-PL" w:eastAsia="pl-PL"/>
          </w:rPr>
          <w:tab/>
        </w:r>
        <w:r w:rsidR="00D824B9" w:rsidRPr="00064131">
          <w:rPr>
            <w:rStyle w:val="Hipercze"/>
          </w:rPr>
          <w:t>Operator exposure (KCP 7.2.1)</w:t>
        </w:r>
        <w:r w:rsidR="00D824B9">
          <w:rPr>
            <w:webHidden/>
          </w:rPr>
          <w:tab/>
        </w:r>
        <w:r>
          <w:rPr>
            <w:webHidden/>
          </w:rPr>
          <w:fldChar w:fldCharType="begin"/>
        </w:r>
        <w:r w:rsidR="00D824B9">
          <w:rPr>
            <w:webHidden/>
          </w:rPr>
          <w:instrText xml:space="preserve"> PAGEREF _Toc179811299 \h </w:instrText>
        </w:r>
        <w:r>
          <w:rPr>
            <w:webHidden/>
          </w:rPr>
        </w:r>
        <w:r>
          <w:rPr>
            <w:webHidden/>
          </w:rPr>
          <w:fldChar w:fldCharType="separate"/>
        </w:r>
        <w:r w:rsidR="00D824B9">
          <w:rPr>
            <w:webHidden/>
          </w:rPr>
          <w:t>15</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0" w:history="1">
        <w:r w:rsidR="00D824B9" w:rsidRPr="00064131">
          <w:rPr>
            <w:rStyle w:val="Hipercze"/>
          </w:rPr>
          <w:t>6.6.2.2</w:t>
        </w:r>
        <w:r w:rsidR="00D824B9">
          <w:rPr>
            <w:rFonts w:asciiTheme="minorHAnsi" w:eastAsiaTheme="minorEastAsia" w:hAnsiTheme="minorHAnsi" w:cstheme="minorBidi"/>
            <w:kern w:val="2"/>
            <w:szCs w:val="24"/>
            <w:lang w:val="pl-PL" w:eastAsia="pl-PL"/>
          </w:rPr>
          <w:tab/>
        </w:r>
        <w:r w:rsidR="00D824B9" w:rsidRPr="00064131">
          <w:rPr>
            <w:rStyle w:val="Hipercze"/>
          </w:rPr>
          <w:t>Measurement of operator exposure</w:t>
        </w:r>
        <w:r w:rsidR="00D824B9">
          <w:rPr>
            <w:webHidden/>
          </w:rPr>
          <w:tab/>
        </w:r>
        <w:r>
          <w:rPr>
            <w:webHidden/>
          </w:rPr>
          <w:fldChar w:fldCharType="begin"/>
        </w:r>
        <w:r w:rsidR="00D824B9">
          <w:rPr>
            <w:webHidden/>
          </w:rPr>
          <w:instrText xml:space="preserve"> PAGEREF _Toc179811300 \h </w:instrText>
        </w:r>
        <w:r>
          <w:rPr>
            <w:webHidden/>
          </w:rPr>
        </w:r>
        <w:r>
          <w:rPr>
            <w:webHidden/>
          </w:rPr>
          <w:fldChar w:fldCharType="separate"/>
        </w:r>
        <w:r w:rsidR="00D824B9">
          <w:rPr>
            <w:webHidden/>
          </w:rPr>
          <w:t>17</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301" w:history="1">
        <w:r w:rsidR="00D824B9" w:rsidRPr="00064131">
          <w:rPr>
            <w:rStyle w:val="Hipercze"/>
          </w:rPr>
          <w:t>6.6.3</w:t>
        </w:r>
        <w:r w:rsidR="00D824B9">
          <w:rPr>
            <w:rFonts w:asciiTheme="minorHAnsi" w:eastAsiaTheme="minorEastAsia" w:hAnsiTheme="minorHAnsi" w:cstheme="minorBidi"/>
            <w:kern w:val="2"/>
            <w:szCs w:val="24"/>
            <w:lang w:val="pl-PL" w:eastAsia="pl-PL"/>
          </w:rPr>
          <w:tab/>
        </w:r>
        <w:r w:rsidR="00D824B9" w:rsidRPr="00064131">
          <w:rPr>
            <w:rStyle w:val="Hipercze"/>
          </w:rPr>
          <w:t>Worker exposure (KCP 7.2.3)</w:t>
        </w:r>
        <w:r w:rsidR="00D824B9">
          <w:rPr>
            <w:webHidden/>
          </w:rPr>
          <w:tab/>
        </w:r>
        <w:r>
          <w:rPr>
            <w:webHidden/>
          </w:rPr>
          <w:fldChar w:fldCharType="begin"/>
        </w:r>
        <w:r w:rsidR="00D824B9">
          <w:rPr>
            <w:webHidden/>
          </w:rPr>
          <w:instrText xml:space="preserve"> PAGEREF _Toc179811301 \h </w:instrText>
        </w:r>
        <w:r>
          <w:rPr>
            <w:webHidden/>
          </w:rPr>
        </w:r>
        <w:r>
          <w:rPr>
            <w:webHidden/>
          </w:rPr>
          <w:fldChar w:fldCharType="separate"/>
        </w:r>
        <w:r w:rsidR="00D824B9">
          <w:rPr>
            <w:webHidden/>
          </w:rPr>
          <w:t>17</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2" w:history="1">
        <w:r w:rsidR="00D824B9" w:rsidRPr="00064131">
          <w:rPr>
            <w:rStyle w:val="Hipercze"/>
            <w:lang w:val="en-GB"/>
          </w:rPr>
          <w:t>6.6.3.1</w:t>
        </w:r>
        <w:r w:rsidR="00D824B9">
          <w:rPr>
            <w:rFonts w:asciiTheme="minorHAnsi" w:eastAsiaTheme="minorEastAsia" w:hAnsiTheme="minorHAnsi" w:cstheme="minorBidi"/>
            <w:kern w:val="2"/>
            <w:szCs w:val="24"/>
            <w:lang w:val="pl-PL" w:eastAsia="pl-PL"/>
          </w:rPr>
          <w:tab/>
        </w:r>
        <w:r w:rsidR="00D824B9" w:rsidRPr="00064131">
          <w:rPr>
            <w:rStyle w:val="Hipercze"/>
            <w:lang w:val="en-GB"/>
          </w:rPr>
          <w:t>Refinement of generic DFR value (KCP 7.2)</w:t>
        </w:r>
        <w:r w:rsidR="00D824B9">
          <w:rPr>
            <w:webHidden/>
          </w:rPr>
          <w:tab/>
        </w:r>
        <w:r>
          <w:rPr>
            <w:webHidden/>
          </w:rPr>
          <w:fldChar w:fldCharType="begin"/>
        </w:r>
        <w:r w:rsidR="00D824B9">
          <w:rPr>
            <w:webHidden/>
          </w:rPr>
          <w:instrText xml:space="preserve"> PAGEREF _Toc179811302 \h </w:instrText>
        </w:r>
        <w:r>
          <w:rPr>
            <w:webHidden/>
          </w:rPr>
        </w:r>
        <w:r>
          <w:rPr>
            <w:webHidden/>
          </w:rPr>
          <w:fldChar w:fldCharType="separate"/>
        </w:r>
        <w:r w:rsidR="00D824B9">
          <w:rPr>
            <w:webHidden/>
          </w:rPr>
          <w:t>19</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3" w:history="1">
        <w:r w:rsidR="00D824B9" w:rsidRPr="00064131">
          <w:rPr>
            <w:rStyle w:val="Hipercze"/>
            <w:lang w:val="en-GB"/>
          </w:rPr>
          <w:t>6.6.3.2</w:t>
        </w:r>
        <w:r w:rsidR="00D824B9">
          <w:rPr>
            <w:rFonts w:asciiTheme="minorHAnsi" w:eastAsiaTheme="minorEastAsia" w:hAnsiTheme="minorHAnsi" w:cstheme="minorBidi"/>
            <w:kern w:val="2"/>
            <w:szCs w:val="24"/>
            <w:lang w:val="pl-PL" w:eastAsia="pl-PL"/>
          </w:rPr>
          <w:tab/>
        </w:r>
        <w:r w:rsidR="00D824B9" w:rsidRPr="00064131">
          <w:rPr>
            <w:rStyle w:val="Hipercze"/>
            <w:lang w:val="en-GB"/>
          </w:rPr>
          <w:t>Measurement of worker exposure</w:t>
        </w:r>
        <w:r w:rsidR="00D824B9">
          <w:rPr>
            <w:webHidden/>
          </w:rPr>
          <w:tab/>
        </w:r>
        <w:r>
          <w:rPr>
            <w:webHidden/>
          </w:rPr>
          <w:fldChar w:fldCharType="begin"/>
        </w:r>
        <w:r w:rsidR="00D824B9">
          <w:rPr>
            <w:webHidden/>
          </w:rPr>
          <w:instrText xml:space="preserve"> PAGEREF _Toc179811303 \h </w:instrText>
        </w:r>
        <w:r>
          <w:rPr>
            <w:webHidden/>
          </w:rPr>
        </w:r>
        <w:r>
          <w:rPr>
            <w:webHidden/>
          </w:rPr>
          <w:fldChar w:fldCharType="separate"/>
        </w:r>
        <w:r w:rsidR="00D824B9">
          <w:rPr>
            <w:webHidden/>
          </w:rPr>
          <w:t>19</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304" w:history="1">
        <w:r w:rsidR="00D824B9" w:rsidRPr="00064131">
          <w:rPr>
            <w:rStyle w:val="Hipercze"/>
          </w:rPr>
          <w:t>6.6.4</w:t>
        </w:r>
        <w:r w:rsidR="00D824B9">
          <w:rPr>
            <w:rFonts w:asciiTheme="minorHAnsi" w:eastAsiaTheme="minorEastAsia" w:hAnsiTheme="minorHAnsi" w:cstheme="minorBidi"/>
            <w:kern w:val="2"/>
            <w:szCs w:val="24"/>
            <w:lang w:val="pl-PL" w:eastAsia="pl-PL"/>
          </w:rPr>
          <w:tab/>
        </w:r>
        <w:r w:rsidR="00D824B9" w:rsidRPr="00064131">
          <w:rPr>
            <w:rStyle w:val="Hipercze"/>
          </w:rPr>
          <w:t>Resident and bystander exposure (KCP 7.2.2)</w:t>
        </w:r>
        <w:r w:rsidR="00D824B9">
          <w:rPr>
            <w:webHidden/>
          </w:rPr>
          <w:tab/>
        </w:r>
        <w:r>
          <w:rPr>
            <w:webHidden/>
          </w:rPr>
          <w:fldChar w:fldCharType="begin"/>
        </w:r>
        <w:r w:rsidR="00D824B9">
          <w:rPr>
            <w:webHidden/>
          </w:rPr>
          <w:instrText xml:space="preserve"> PAGEREF _Toc179811304 \h </w:instrText>
        </w:r>
        <w:r>
          <w:rPr>
            <w:webHidden/>
          </w:rPr>
        </w:r>
        <w:r>
          <w:rPr>
            <w:webHidden/>
          </w:rPr>
          <w:fldChar w:fldCharType="separate"/>
        </w:r>
        <w:r w:rsidR="00D824B9">
          <w:rPr>
            <w:webHidden/>
          </w:rPr>
          <w:t>19</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5" w:history="1">
        <w:r w:rsidR="00D824B9" w:rsidRPr="00064131">
          <w:rPr>
            <w:rStyle w:val="Hipercze"/>
            <w:lang w:val="en-GB"/>
          </w:rPr>
          <w:t>6.6.4.1</w:t>
        </w:r>
        <w:r w:rsidR="00D824B9">
          <w:rPr>
            <w:rFonts w:asciiTheme="minorHAnsi" w:eastAsiaTheme="minorEastAsia" w:hAnsiTheme="minorHAnsi" w:cstheme="minorBidi"/>
            <w:kern w:val="2"/>
            <w:szCs w:val="24"/>
            <w:lang w:val="pl-PL" w:eastAsia="pl-PL"/>
          </w:rPr>
          <w:tab/>
        </w:r>
        <w:r w:rsidR="00D824B9" w:rsidRPr="00064131">
          <w:rPr>
            <w:rStyle w:val="Hipercze"/>
            <w:lang w:val="en-GB"/>
          </w:rPr>
          <w:t>Estimation of resident and bystander exposure</w:t>
        </w:r>
        <w:r w:rsidR="00D824B9">
          <w:rPr>
            <w:webHidden/>
          </w:rPr>
          <w:tab/>
        </w:r>
        <w:r>
          <w:rPr>
            <w:webHidden/>
          </w:rPr>
          <w:fldChar w:fldCharType="begin"/>
        </w:r>
        <w:r w:rsidR="00D824B9">
          <w:rPr>
            <w:webHidden/>
          </w:rPr>
          <w:instrText xml:space="preserve"> PAGEREF _Toc179811305 \h </w:instrText>
        </w:r>
        <w:r>
          <w:rPr>
            <w:webHidden/>
          </w:rPr>
        </w:r>
        <w:r>
          <w:rPr>
            <w:webHidden/>
          </w:rPr>
          <w:fldChar w:fldCharType="separate"/>
        </w:r>
        <w:r w:rsidR="00D824B9">
          <w:rPr>
            <w:webHidden/>
          </w:rPr>
          <w:t>19</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6" w:history="1">
        <w:r w:rsidR="00D824B9" w:rsidRPr="00064131">
          <w:rPr>
            <w:rStyle w:val="Hipercze"/>
            <w:lang w:val="en-GB"/>
          </w:rPr>
          <w:t>6.6.4.2</w:t>
        </w:r>
        <w:r w:rsidR="00D824B9">
          <w:rPr>
            <w:rFonts w:asciiTheme="minorHAnsi" w:eastAsiaTheme="minorEastAsia" w:hAnsiTheme="minorHAnsi" w:cstheme="minorBidi"/>
            <w:kern w:val="2"/>
            <w:szCs w:val="24"/>
            <w:lang w:val="pl-PL" w:eastAsia="pl-PL"/>
          </w:rPr>
          <w:tab/>
        </w:r>
        <w:r w:rsidR="00D824B9" w:rsidRPr="00064131">
          <w:rPr>
            <w:rStyle w:val="Hipercze"/>
            <w:lang w:val="en-GB"/>
          </w:rPr>
          <w:t>Measurement of resident and/or bystander exposure</w:t>
        </w:r>
        <w:r w:rsidR="00D824B9">
          <w:rPr>
            <w:webHidden/>
          </w:rPr>
          <w:tab/>
        </w:r>
        <w:r>
          <w:rPr>
            <w:webHidden/>
          </w:rPr>
          <w:fldChar w:fldCharType="begin"/>
        </w:r>
        <w:r w:rsidR="00D824B9">
          <w:rPr>
            <w:webHidden/>
          </w:rPr>
          <w:instrText xml:space="preserve"> PAGEREF _Toc179811306 \h </w:instrText>
        </w:r>
        <w:r>
          <w:rPr>
            <w:webHidden/>
          </w:rPr>
        </w:r>
        <w:r>
          <w:rPr>
            <w:webHidden/>
          </w:rPr>
          <w:fldChar w:fldCharType="separate"/>
        </w:r>
        <w:r w:rsidR="00D824B9">
          <w:rPr>
            <w:webHidden/>
          </w:rPr>
          <w:t>21</w:t>
        </w:r>
        <w:r>
          <w:rPr>
            <w:webHidden/>
          </w:rPr>
          <w:fldChar w:fldCharType="end"/>
        </w:r>
      </w:hyperlink>
    </w:p>
    <w:p w:rsidR="00D824B9" w:rsidRDefault="00772379">
      <w:pPr>
        <w:pStyle w:val="Spistreci3"/>
        <w:rPr>
          <w:rFonts w:asciiTheme="minorHAnsi" w:eastAsiaTheme="minorEastAsia" w:hAnsiTheme="minorHAnsi" w:cstheme="minorBidi"/>
          <w:kern w:val="2"/>
          <w:szCs w:val="24"/>
          <w:lang w:val="pl-PL" w:eastAsia="pl-PL"/>
        </w:rPr>
      </w:pPr>
      <w:hyperlink w:anchor="_Toc179811307" w:history="1">
        <w:r w:rsidR="00D824B9" w:rsidRPr="00064131">
          <w:rPr>
            <w:rStyle w:val="Hipercze"/>
          </w:rPr>
          <w:t>6.6.5</w:t>
        </w:r>
        <w:r w:rsidR="00D824B9">
          <w:rPr>
            <w:rFonts w:asciiTheme="minorHAnsi" w:eastAsiaTheme="minorEastAsia" w:hAnsiTheme="minorHAnsi" w:cstheme="minorBidi"/>
            <w:kern w:val="2"/>
            <w:szCs w:val="24"/>
            <w:lang w:val="pl-PL" w:eastAsia="pl-PL"/>
          </w:rPr>
          <w:tab/>
        </w:r>
        <w:r w:rsidR="00D824B9" w:rsidRPr="00064131">
          <w:rPr>
            <w:rStyle w:val="Hipercze"/>
          </w:rPr>
          <w:t>Combined exposure</w:t>
        </w:r>
        <w:r w:rsidR="00D824B9">
          <w:rPr>
            <w:webHidden/>
          </w:rPr>
          <w:tab/>
        </w:r>
        <w:r>
          <w:rPr>
            <w:webHidden/>
          </w:rPr>
          <w:fldChar w:fldCharType="begin"/>
        </w:r>
        <w:r w:rsidR="00D824B9">
          <w:rPr>
            <w:webHidden/>
          </w:rPr>
          <w:instrText xml:space="preserve"> PAGEREF _Toc179811307 \h </w:instrText>
        </w:r>
        <w:r>
          <w:rPr>
            <w:webHidden/>
          </w:rPr>
        </w:r>
        <w:r>
          <w:rPr>
            <w:webHidden/>
          </w:rPr>
          <w:fldChar w:fldCharType="separate"/>
        </w:r>
        <w:r w:rsidR="00D824B9">
          <w:rPr>
            <w:webHidden/>
          </w:rPr>
          <w:t>21</w:t>
        </w:r>
        <w:r>
          <w:rPr>
            <w:webHidden/>
          </w:rPr>
          <w:fldChar w:fldCharType="end"/>
        </w:r>
      </w:hyperlink>
    </w:p>
    <w:p w:rsidR="00D824B9" w:rsidRDefault="00772379">
      <w:pPr>
        <w:pStyle w:val="Spistreci4"/>
        <w:rPr>
          <w:rFonts w:asciiTheme="minorHAnsi" w:eastAsiaTheme="minorEastAsia" w:hAnsiTheme="minorHAnsi" w:cstheme="minorBidi"/>
          <w:kern w:val="2"/>
          <w:szCs w:val="24"/>
          <w:lang w:val="pl-PL" w:eastAsia="pl-PL"/>
        </w:rPr>
      </w:pPr>
      <w:hyperlink w:anchor="_Toc179811308" w:history="1">
        <w:r w:rsidR="00D824B9" w:rsidRPr="00064131">
          <w:rPr>
            <w:rStyle w:val="Hipercze"/>
            <w:lang w:val="en-GB"/>
          </w:rPr>
          <w:t>6.6.5.1</w:t>
        </w:r>
        <w:r w:rsidR="00D824B9">
          <w:rPr>
            <w:rFonts w:asciiTheme="minorHAnsi" w:eastAsiaTheme="minorEastAsia" w:hAnsiTheme="minorHAnsi" w:cstheme="minorBidi"/>
            <w:kern w:val="2"/>
            <w:szCs w:val="24"/>
            <w:lang w:val="pl-PL" w:eastAsia="pl-PL"/>
          </w:rPr>
          <w:tab/>
        </w:r>
        <w:r w:rsidR="00D824B9" w:rsidRPr="00064131">
          <w:rPr>
            <w:rStyle w:val="Hipercze"/>
            <w:lang w:val="en-GB"/>
          </w:rPr>
          <w:t xml:space="preserve">Exposure assessment of mesosulfuron-methyl, iodosulfuron-methyl-sodium and mefenpyr-diethyl in </w:t>
        </w:r>
        <w:r w:rsidR="00D824B9" w:rsidRPr="00064131">
          <w:rPr>
            <w:rStyle w:val="Hipercze"/>
            <w:lang w:val="en-US"/>
          </w:rPr>
          <w:t>054-01-05</w:t>
        </w:r>
        <w:r w:rsidR="00D824B9">
          <w:rPr>
            <w:webHidden/>
          </w:rPr>
          <w:tab/>
        </w:r>
        <w:r>
          <w:rPr>
            <w:webHidden/>
          </w:rPr>
          <w:fldChar w:fldCharType="begin"/>
        </w:r>
        <w:r w:rsidR="00D824B9">
          <w:rPr>
            <w:webHidden/>
          </w:rPr>
          <w:instrText xml:space="preserve"> PAGEREF _Toc179811308 \h </w:instrText>
        </w:r>
        <w:r>
          <w:rPr>
            <w:webHidden/>
          </w:rPr>
        </w:r>
        <w:r>
          <w:rPr>
            <w:webHidden/>
          </w:rPr>
          <w:fldChar w:fldCharType="separate"/>
        </w:r>
        <w:r w:rsidR="00D824B9">
          <w:rPr>
            <w:webHidden/>
          </w:rPr>
          <w:t>21</w:t>
        </w:r>
        <w:r>
          <w:rPr>
            <w:webHidden/>
          </w:rPr>
          <w:fldChar w:fldCharType="end"/>
        </w:r>
      </w:hyperlink>
    </w:p>
    <w:p w:rsidR="00D824B9" w:rsidRDefault="00772379">
      <w:pPr>
        <w:pStyle w:val="Spistreci1"/>
        <w:rPr>
          <w:rFonts w:asciiTheme="minorHAnsi" w:eastAsiaTheme="minorEastAsia" w:hAnsiTheme="minorHAnsi" w:cstheme="minorBidi"/>
          <w:b w:val="0"/>
          <w:kern w:val="2"/>
          <w:szCs w:val="24"/>
          <w:lang w:val="pl-PL" w:eastAsia="pl-PL"/>
        </w:rPr>
      </w:pPr>
      <w:hyperlink w:anchor="_Toc179811309" w:history="1">
        <w:r w:rsidR="00D824B9" w:rsidRPr="00064131">
          <w:rPr>
            <w:rStyle w:val="Hipercze"/>
          </w:rPr>
          <w:t>Appendix 1</w:t>
        </w:r>
        <w:r w:rsidR="00D824B9">
          <w:rPr>
            <w:rFonts w:asciiTheme="minorHAnsi" w:eastAsiaTheme="minorEastAsia" w:hAnsiTheme="minorHAnsi" w:cstheme="minorBidi"/>
            <w:b w:val="0"/>
            <w:kern w:val="2"/>
            <w:szCs w:val="24"/>
            <w:lang w:val="pl-PL" w:eastAsia="pl-PL"/>
          </w:rPr>
          <w:tab/>
        </w:r>
        <w:r w:rsidR="00D824B9" w:rsidRPr="00064131">
          <w:rPr>
            <w:rStyle w:val="Hipercze"/>
          </w:rPr>
          <w:t>Lists of data considered in support of the evaluation</w:t>
        </w:r>
        <w:r w:rsidR="00D824B9">
          <w:rPr>
            <w:webHidden/>
          </w:rPr>
          <w:tab/>
        </w:r>
        <w:r>
          <w:rPr>
            <w:webHidden/>
          </w:rPr>
          <w:fldChar w:fldCharType="begin"/>
        </w:r>
        <w:r w:rsidR="00D824B9">
          <w:rPr>
            <w:webHidden/>
          </w:rPr>
          <w:instrText xml:space="preserve"> PAGEREF _Toc179811309 \h </w:instrText>
        </w:r>
        <w:r>
          <w:rPr>
            <w:webHidden/>
          </w:rPr>
        </w:r>
        <w:r>
          <w:rPr>
            <w:webHidden/>
          </w:rPr>
          <w:fldChar w:fldCharType="separate"/>
        </w:r>
        <w:r w:rsidR="00D824B9">
          <w:rPr>
            <w:webHidden/>
          </w:rPr>
          <w:t>24</w:t>
        </w:r>
        <w:r>
          <w:rPr>
            <w:webHidden/>
          </w:rPr>
          <w:fldChar w:fldCharType="end"/>
        </w:r>
      </w:hyperlink>
    </w:p>
    <w:p w:rsidR="00D824B9" w:rsidRDefault="00772379">
      <w:pPr>
        <w:pStyle w:val="Spistreci1"/>
        <w:rPr>
          <w:rFonts w:asciiTheme="minorHAnsi" w:eastAsiaTheme="minorEastAsia" w:hAnsiTheme="minorHAnsi" w:cstheme="minorBidi"/>
          <w:b w:val="0"/>
          <w:kern w:val="2"/>
          <w:szCs w:val="24"/>
          <w:lang w:val="pl-PL" w:eastAsia="pl-PL"/>
        </w:rPr>
      </w:pPr>
      <w:hyperlink w:anchor="_Toc179811310" w:history="1">
        <w:r w:rsidR="00D824B9" w:rsidRPr="00064131">
          <w:rPr>
            <w:rStyle w:val="Hipercze"/>
          </w:rPr>
          <w:t>Appendix 2</w:t>
        </w:r>
        <w:r w:rsidR="00D824B9">
          <w:rPr>
            <w:rFonts w:asciiTheme="minorHAnsi" w:eastAsiaTheme="minorEastAsia" w:hAnsiTheme="minorHAnsi" w:cstheme="minorBidi"/>
            <w:b w:val="0"/>
            <w:kern w:val="2"/>
            <w:szCs w:val="24"/>
            <w:lang w:val="pl-PL" w:eastAsia="pl-PL"/>
          </w:rPr>
          <w:tab/>
        </w:r>
        <w:r w:rsidR="00D824B9" w:rsidRPr="00064131">
          <w:rPr>
            <w:rStyle w:val="Hipercze"/>
          </w:rPr>
          <w:t>Detailed evaluation of the studies relied upon</w:t>
        </w:r>
        <w:r w:rsidR="00D824B9">
          <w:rPr>
            <w:webHidden/>
          </w:rPr>
          <w:tab/>
        </w:r>
        <w:r>
          <w:rPr>
            <w:webHidden/>
          </w:rPr>
          <w:fldChar w:fldCharType="begin"/>
        </w:r>
        <w:r w:rsidR="00D824B9">
          <w:rPr>
            <w:webHidden/>
          </w:rPr>
          <w:instrText xml:space="preserve"> PAGEREF _Toc179811310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1" w:history="1">
        <w:r w:rsidR="00D824B9" w:rsidRPr="00064131">
          <w:rPr>
            <w:rStyle w:val="Hipercze"/>
          </w:rPr>
          <w:t>A 2.1</w:t>
        </w:r>
        <w:r w:rsidR="00D824B9">
          <w:rPr>
            <w:rFonts w:asciiTheme="minorHAnsi" w:eastAsiaTheme="minorEastAsia" w:hAnsiTheme="minorHAnsi" w:cstheme="minorBidi"/>
            <w:kern w:val="2"/>
            <w:szCs w:val="24"/>
            <w:lang w:val="pl-PL" w:eastAsia="pl-PL"/>
          </w:rPr>
          <w:tab/>
        </w:r>
        <w:r w:rsidR="00D824B9" w:rsidRPr="00064131">
          <w:rPr>
            <w:rStyle w:val="Hipercze"/>
          </w:rPr>
          <w:t>Statement on bridging possibilities</w:t>
        </w:r>
        <w:r w:rsidR="00D824B9">
          <w:rPr>
            <w:webHidden/>
          </w:rPr>
          <w:tab/>
        </w:r>
        <w:r>
          <w:rPr>
            <w:webHidden/>
          </w:rPr>
          <w:fldChar w:fldCharType="begin"/>
        </w:r>
        <w:r w:rsidR="00D824B9">
          <w:rPr>
            <w:webHidden/>
          </w:rPr>
          <w:instrText xml:space="preserve"> PAGEREF _Toc179811311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2" w:history="1">
        <w:r w:rsidR="00D824B9" w:rsidRPr="00064131">
          <w:rPr>
            <w:rStyle w:val="Hipercze"/>
          </w:rPr>
          <w:t>A 2.2</w:t>
        </w:r>
        <w:r w:rsidR="00D824B9">
          <w:rPr>
            <w:rFonts w:asciiTheme="minorHAnsi" w:eastAsiaTheme="minorEastAsia" w:hAnsiTheme="minorHAnsi" w:cstheme="minorBidi"/>
            <w:kern w:val="2"/>
            <w:szCs w:val="24"/>
            <w:lang w:val="pl-PL" w:eastAsia="pl-PL"/>
          </w:rPr>
          <w:tab/>
        </w:r>
        <w:r w:rsidR="00D824B9" w:rsidRPr="00064131">
          <w:rPr>
            <w:rStyle w:val="Hipercze"/>
          </w:rPr>
          <w:t>Acute oral toxicity (KCP 7.1.1)</w:t>
        </w:r>
        <w:r w:rsidR="00D824B9">
          <w:rPr>
            <w:webHidden/>
          </w:rPr>
          <w:tab/>
        </w:r>
        <w:r>
          <w:rPr>
            <w:webHidden/>
          </w:rPr>
          <w:fldChar w:fldCharType="begin"/>
        </w:r>
        <w:r w:rsidR="00D824B9">
          <w:rPr>
            <w:webHidden/>
          </w:rPr>
          <w:instrText xml:space="preserve"> PAGEREF _Toc179811312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3" w:history="1">
        <w:r w:rsidR="00D824B9" w:rsidRPr="00064131">
          <w:rPr>
            <w:rStyle w:val="Hipercze"/>
          </w:rPr>
          <w:t>A 2.3</w:t>
        </w:r>
        <w:r w:rsidR="00D824B9">
          <w:rPr>
            <w:rFonts w:asciiTheme="minorHAnsi" w:eastAsiaTheme="minorEastAsia" w:hAnsiTheme="minorHAnsi" w:cstheme="minorBidi"/>
            <w:kern w:val="2"/>
            <w:szCs w:val="24"/>
            <w:lang w:val="pl-PL" w:eastAsia="pl-PL"/>
          </w:rPr>
          <w:tab/>
        </w:r>
        <w:r w:rsidR="00D824B9" w:rsidRPr="00064131">
          <w:rPr>
            <w:rStyle w:val="Hipercze"/>
          </w:rPr>
          <w:t>Acute percutaneous (dermal) toxicity (KCP 7.1.2)</w:t>
        </w:r>
        <w:r w:rsidR="00D824B9">
          <w:rPr>
            <w:webHidden/>
          </w:rPr>
          <w:tab/>
        </w:r>
        <w:r>
          <w:rPr>
            <w:webHidden/>
          </w:rPr>
          <w:fldChar w:fldCharType="begin"/>
        </w:r>
        <w:r w:rsidR="00D824B9">
          <w:rPr>
            <w:webHidden/>
          </w:rPr>
          <w:instrText xml:space="preserve"> PAGEREF _Toc179811313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4" w:history="1">
        <w:r w:rsidR="00D824B9" w:rsidRPr="00064131">
          <w:rPr>
            <w:rStyle w:val="Hipercze"/>
          </w:rPr>
          <w:t>A 2.4</w:t>
        </w:r>
        <w:r w:rsidR="00D824B9">
          <w:rPr>
            <w:rFonts w:asciiTheme="minorHAnsi" w:eastAsiaTheme="minorEastAsia" w:hAnsiTheme="minorHAnsi" w:cstheme="minorBidi"/>
            <w:kern w:val="2"/>
            <w:szCs w:val="24"/>
            <w:lang w:val="pl-PL" w:eastAsia="pl-PL"/>
          </w:rPr>
          <w:tab/>
        </w:r>
        <w:r w:rsidR="00D824B9" w:rsidRPr="00064131">
          <w:rPr>
            <w:rStyle w:val="Hipercze"/>
          </w:rPr>
          <w:t>Acute inhalation toxicity (KCP 7.1.3)</w:t>
        </w:r>
        <w:r w:rsidR="00D824B9">
          <w:rPr>
            <w:webHidden/>
          </w:rPr>
          <w:tab/>
        </w:r>
        <w:r>
          <w:rPr>
            <w:webHidden/>
          </w:rPr>
          <w:fldChar w:fldCharType="begin"/>
        </w:r>
        <w:r w:rsidR="00D824B9">
          <w:rPr>
            <w:webHidden/>
          </w:rPr>
          <w:instrText xml:space="preserve"> PAGEREF _Toc179811314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5" w:history="1">
        <w:r w:rsidR="00D824B9" w:rsidRPr="00064131">
          <w:rPr>
            <w:rStyle w:val="Hipercze"/>
          </w:rPr>
          <w:t>A 2.5</w:t>
        </w:r>
        <w:r w:rsidR="00D824B9">
          <w:rPr>
            <w:rFonts w:asciiTheme="minorHAnsi" w:eastAsiaTheme="minorEastAsia" w:hAnsiTheme="minorHAnsi" w:cstheme="minorBidi"/>
            <w:kern w:val="2"/>
            <w:szCs w:val="24"/>
            <w:lang w:val="pl-PL" w:eastAsia="pl-PL"/>
          </w:rPr>
          <w:tab/>
        </w:r>
        <w:r w:rsidR="00D824B9" w:rsidRPr="00064131">
          <w:rPr>
            <w:rStyle w:val="Hipercze"/>
          </w:rPr>
          <w:t>Skin irritation (KCP 7.1.4)</w:t>
        </w:r>
        <w:r w:rsidR="00D824B9">
          <w:rPr>
            <w:webHidden/>
          </w:rPr>
          <w:tab/>
        </w:r>
        <w:r>
          <w:rPr>
            <w:webHidden/>
          </w:rPr>
          <w:fldChar w:fldCharType="begin"/>
        </w:r>
        <w:r w:rsidR="00D824B9">
          <w:rPr>
            <w:webHidden/>
          </w:rPr>
          <w:instrText xml:space="preserve"> PAGEREF _Toc179811315 \h </w:instrText>
        </w:r>
        <w:r>
          <w:rPr>
            <w:webHidden/>
          </w:rPr>
        </w:r>
        <w:r>
          <w:rPr>
            <w:webHidden/>
          </w:rPr>
          <w:fldChar w:fldCharType="separate"/>
        </w:r>
        <w:r w:rsidR="00D824B9">
          <w:rPr>
            <w:webHidden/>
          </w:rPr>
          <w:t>42</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6" w:history="1">
        <w:r w:rsidR="00D824B9" w:rsidRPr="00064131">
          <w:rPr>
            <w:rStyle w:val="Hipercze"/>
          </w:rPr>
          <w:t>A 2.6</w:t>
        </w:r>
        <w:r w:rsidR="00D824B9">
          <w:rPr>
            <w:rFonts w:asciiTheme="minorHAnsi" w:eastAsiaTheme="minorEastAsia" w:hAnsiTheme="minorHAnsi" w:cstheme="minorBidi"/>
            <w:kern w:val="2"/>
            <w:szCs w:val="24"/>
            <w:lang w:val="pl-PL" w:eastAsia="pl-PL"/>
          </w:rPr>
          <w:tab/>
        </w:r>
        <w:r w:rsidR="00D824B9" w:rsidRPr="00064131">
          <w:rPr>
            <w:rStyle w:val="Hipercze"/>
          </w:rPr>
          <w:t>Eye irritation (KCP 7.1.5)</w:t>
        </w:r>
        <w:r w:rsidR="00D824B9">
          <w:rPr>
            <w:webHidden/>
          </w:rPr>
          <w:tab/>
        </w:r>
        <w:r>
          <w:rPr>
            <w:webHidden/>
          </w:rPr>
          <w:fldChar w:fldCharType="begin"/>
        </w:r>
        <w:r w:rsidR="00D824B9">
          <w:rPr>
            <w:webHidden/>
          </w:rPr>
          <w:instrText xml:space="preserve"> PAGEREF _Toc179811316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7" w:history="1">
        <w:r w:rsidR="00D824B9" w:rsidRPr="00064131">
          <w:rPr>
            <w:rStyle w:val="Hipercze"/>
          </w:rPr>
          <w:t>A 2.7</w:t>
        </w:r>
        <w:r w:rsidR="00D824B9">
          <w:rPr>
            <w:rFonts w:asciiTheme="minorHAnsi" w:eastAsiaTheme="minorEastAsia" w:hAnsiTheme="minorHAnsi" w:cstheme="minorBidi"/>
            <w:kern w:val="2"/>
            <w:szCs w:val="24"/>
            <w:lang w:val="pl-PL" w:eastAsia="pl-PL"/>
          </w:rPr>
          <w:tab/>
        </w:r>
        <w:r w:rsidR="00D824B9" w:rsidRPr="00064131">
          <w:rPr>
            <w:rStyle w:val="Hipercze"/>
          </w:rPr>
          <w:t>Skin sensitisation (KCP 7.1.6)</w:t>
        </w:r>
        <w:r w:rsidR="00D824B9">
          <w:rPr>
            <w:webHidden/>
          </w:rPr>
          <w:tab/>
        </w:r>
        <w:r>
          <w:rPr>
            <w:webHidden/>
          </w:rPr>
          <w:fldChar w:fldCharType="begin"/>
        </w:r>
        <w:r w:rsidR="00D824B9">
          <w:rPr>
            <w:webHidden/>
          </w:rPr>
          <w:instrText xml:space="preserve"> PAGEREF _Toc179811317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8" w:history="1">
        <w:r w:rsidR="00D824B9" w:rsidRPr="00064131">
          <w:rPr>
            <w:rStyle w:val="Hipercze"/>
          </w:rPr>
          <w:t>A 2.8</w:t>
        </w:r>
        <w:r w:rsidR="00D824B9">
          <w:rPr>
            <w:rFonts w:asciiTheme="minorHAnsi" w:eastAsiaTheme="minorEastAsia" w:hAnsiTheme="minorHAnsi" w:cstheme="minorBidi"/>
            <w:kern w:val="2"/>
            <w:szCs w:val="24"/>
            <w:lang w:val="pl-PL" w:eastAsia="pl-PL"/>
          </w:rPr>
          <w:tab/>
        </w:r>
        <w:r w:rsidR="00D824B9" w:rsidRPr="00064131">
          <w:rPr>
            <w:rStyle w:val="Hipercze"/>
          </w:rPr>
          <w:t>Supplementary studies for combinations of plant protection products (KCP 7.1.7)</w:t>
        </w:r>
        <w:r w:rsidR="00D824B9">
          <w:rPr>
            <w:webHidden/>
          </w:rPr>
          <w:tab/>
        </w:r>
        <w:r>
          <w:rPr>
            <w:webHidden/>
          </w:rPr>
          <w:fldChar w:fldCharType="begin"/>
        </w:r>
        <w:r w:rsidR="00D824B9">
          <w:rPr>
            <w:webHidden/>
          </w:rPr>
          <w:instrText xml:space="preserve"> PAGEREF _Toc179811318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19" w:history="1">
        <w:r w:rsidR="00D824B9" w:rsidRPr="00064131">
          <w:rPr>
            <w:rStyle w:val="Hipercze"/>
          </w:rPr>
          <w:t>A 2.9</w:t>
        </w:r>
        <w:r w:rsidR="00D824B9">
          <w:rPr>
            <w:rFonts w:asciiTheme="minorHAnsi" w:eastAsiaTheme="minorEastAsia" w:hAnsiTheme="minorHAnsi" w:cstheme="minorBidi"/>
            <w:kern w:val="2"/>
            <w:szCs w:val="24"/>
            <w:lang w:val="pl-PL" w:eastAsia="pl-PL"/>
          </w:rPr>
          <w:tab/>
        </w:r>
        <w:r w:rsidR="00D824B9" w:rsidRPr="00064131">
          <w:rPr>
            <w:rStyle w:val="Hipercze"/>
          </w:rPr>
          <w:t>Data on co-formulants (KCP 7.4)</w:t>
        </w:r>
        <w:r w:rsidR="00D824B9">
          <w:rPr>
            <w:webHidden/>
          </w:rPr>
          <w:tab/>
        </w:r>
        <w:r>
          <w:rPr>
            <w:webHidden/>
          </w:rPr>
          <w:fldChar w:fldCharType="begin"/>
        </w:r>
        <w:r w:rsidR="00D824B9">
          <w:rPr>
            <w:webHidden/>
          </w:rPr>
          <w:instrText xml:space="preserve"> PAGEREF _Toc179811319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20" w:history="1">
        <w:r w:rsidR="00D824B9" w:rsidRPr="00064131">
          <w:rPr>
            <w:rStyle w:val="Hipercze"/>
          </w:rPr>
          <w:t>A 2.10</w:t>
        </w:r>
        <w:r w:rsidR="00D824B9">
          <w:rPr>
            <w:rFonts w:asciiTheme="minorHAnsi" w:eastAsiaTheme="minorEastAsia" w:hAnsiTheme="minorHAnsi" w:cstheme="minorBidi"/>
            <w:kern w:val="2"/>
            <w:szCs w:val="24"/>
            <w:lang w:val="pl-PL" w:eastAsia="pl-PL"/>
          </w:rPr>
          <w:tab/>
        </w:r>
        <w:r w:rsidR="00D824B9" w:rsidRPr="00064131">
          <w:rPr>
            <w:rStyle w:val="Hipercze"/>
          </w:rPr>
          <w:t>Studies on dermal absorption (KCP 7.3)</w:t>
        </w:r>
        <w:r w:rsidR="00D824B9">
          <w:rPr>
            <w:webHidden/>
          </w:rPr>
          <w:tab/>
        </w:r>
        <w:r>
          <w:rPr>
            <w:webHidden/>
          </w:rPr>
          <w:fldChar w:fldCharType="begin"/>
        </w:r>
        <w:r w:rsidR="00D824B9">
          <w:rPr>
            <w:webHidden/>
          </w:rPr>
          <w:instrText xml:space="preserve"> PAGEREF _Toc179811320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2"/>
        <w:rPr>
          <w:rFonts w:asciiTheme="minorHAnsi" w:eastAsiaTheme="minorEastAsia" w:hAnsiTheme="minorHAnsi" w:cstheme="minorBidi"/>
          <w:kern w:val="2"/>
          <w:szCs w:val="24"/>
          <w:lang w:val="pl-PL" w:eastAsia="pl-PL"/>
        </w:rPr>
      </w:pPr>
      <w:hyperlink w:anchor="_Toc179811321" w:history="1">
        <w:r w:rsidR="00D824B9" w:rsidRPr="00064131">
          <w:rPr>
            <w:rStyle w:val="Hipercze"/>
          </w:rPr>
          <w:t>A 2.11</w:t>
        </w:r>
        <w:r w:rsidR="00D824B9">
          <w:rPr>
            <w:rFonts w:asciiTheme="minorHAnsi" w:eastAsiaTheme="minorEastAsia" w:hAnsiTheme="minorHAnsi" w:cstheme="minorBidi"/>
            <w:kern w:val="2"/>
            <w:szCs w:val="24"/>
            <w:lang w:val="pl-PL" w:eastAsia="pl-PL"/>
          </w:rPr>
          <w:tab/>
        </w:r>
        <w:r w:rsidR="00D824B9" w:rsidRPr="00064131">
          <w:rPr>
            <w:rStyle w:val="Hipercze"/>
          </w:rPr>
          <w:t>Other/Special Studies</w:t>
        </w:r>
        <w:r w:rsidR="00D824B9">
          <w:rPr>
            <w:webHidden/>
          </w:rPr>
          <w:tab/>
        </w:r>
        <w:r>
          <w:rPr>
            <w:webHidden/>
          </w:rPr>
          <w:fldChar w:fldCharType="begin"/>
        </w:r>
        <w:r w:rsidR="00D824B9">
          <w:rPr>
            <w:webHidden/>
          </w:rPr>
          <w:instrText xml:space="preserve"> PAGEREF _Toc179811321 \h </w:instrText>
        </w:r>
        <w:r>
          <w:rPr>
            <w:webHidden/>
          </w:rPr>
        </w:r>
        <w:r>
          <w:rPr>
            <w:webHidden/>
          </w:rPr>
          <w:fldChar w:fldCharType="separate"/>
        </w:r>
        <w:r w:rsidR="00D824B9">
          <w:rPr>
            <w:webHidden/>
          </w:rPr>
          <w:t>43</w:t>
        </w:r>
        <w:r>
          <w:rPr>
            <w:webHidden/>
          </w:rPr>
          <w:fldChar w:fldCharType="end"/>
        </w:r>
      </w:hyperlink>
    </w:p>
    <w:p w:rsidR="00D824B9" w:rsidRDefault="00772379">
      <w:pPr>
        <w:pStyle w:val="Spistreci1"/>
        <w:rPr>
          <w:rFonts w:asciiTheme="minorHAnsi" w:eastAsiaTheme="minorEastAsia" w:hAnsiTheme="minorHAnsi" w:cstheme="minorBidi"/>
          <w:b w:val="0"/>
          <w:kern w:val="2"/>
          <w:szCs w:val="24"/>
          <w:lang w:val="pl-PL" w:eastAsia="pl-PL"/>
        </w:rPr>
      </w:pPr>
      <w:hyperlink w:anchor="_Toc179811322" w:history="1">
        <w:r w:rsidR="00D824B9" w:rsidRPr="00064131">
          <w:rPr>
            <w:rStyle w:val="Hipercze"/>
          </w:rPr>
          <w:t>Appendix 3</w:t>
        </w:r>
        <w:r w:rsidR="00D824B9">
          <w:rPr>
            <w:rFonts w:asciiTheme="minorHAnsi" w:eastAsiaTheme="minorEastAsia" w:hAnsiTheme="minorHAnsi" w:cstheme="minorBidi"/>
            <w:b w:val="0"/>
            <w:kern w:val="2"/>
            <w:szCs w:val="24"/>
            <w:lang w:val="pl-PL" w:eastAsia="pl-PL"/>
          </w:rPr>
          <w:tab/>
        </w:r>
        <w:r w:rsidR="00D824B9" w:rsidRPr="00064131">
          <w:rPr>
            <w:rStyle w:val="Hipercze"/>
          </w:rPr>
          <w:t>Exposure calculations</w:t>
        </w:r>
        <w:r w:rsidR="00D824B9">
          <w:rPr>
            <w:webHidden/>
          </w:rPr>
          <w:tab/>
        </w:r>
        <w:r>
          <w:rPr>
            <w:webHidden/>
          </w:rPr>
          <w:fldChar w:fldCharType="begin"/>
        </w:r>
        <w:r w:rsidR="00D824B9">
          <w:rPr>
            <w:webHidden/>
          </w:rPr>
          <w:instrText xml:space="preserve"> PAGEREF _Toc179811322 \h </w:instrText>
        </w:r>
        <w:r>
          <w:rPr>
            <w:webHidden/>
          </w:rPr>
        </w:r>
        <w:r>
          <w:rPr>
            <w:webHidden/>
          </w:rPr>
          <w:fldChar w:fldCharType="separate"/>
        </w:r>
        <w:r w:rsidR="00D824B9">
          <w:rPr>
            <w:webHidden/>
          </w:rPr>
          <w:t>44</w:t>
        </w:r>
        <w:r>
          <w:rPr>
            <w:webHidden/>
          </w:rPr>
          <w:fldChar w:fldCharType="end"/>
        </w:r>
      </w:hyperlink>
    </w:p>
    <w:p w:rsidR="00D824B9" w:rsidRDefault="00772379">
      <w:pPr>
        <w:pStyle w:val="Spistreci1"/>
        <w:rPr>
          <w:rFonts w:asciiTheme="minorHAnsi" w:eastAsiaTheme="minorEastAsia" w:hAnsiTheme="minorHAnsi" w:cstheme="minorBidi"/>
          <w:b w:val="0"/>
          <w:kern w:val="2"/>
          <w:szCs w:val="24"/>
          <w:lang w:val="pl-PL" w:eastAsia="pl-PL"/>
        </w:rPr>
      </w:pPr>
      <w:hyperlink w:anchor="_Toc179811323" w:history="1">
        <w:r w:rsidR="00D824B9" w:rsidRPr="00064131">
          <w:rPr>
            <w:rStyle w:val="Hipercze"/>
          </w:rPr>
          <w:t>Appendix 4</w:t>
        </w:r>
        <w:r w:rsidR="00D824B9">
          <w:rPr>
            <w:rFonts w:asciiTheme="minorHAnsi" w:eastAsiaTheme="minorEastAsia" w:hAnsiTheme="minorHAnsi" w:cstheme="minorBidi"/>
            <w:b w:val="0"/>
            <w:kern w:val="2"/>
            <w:szCs w:val="24"/>
            <w:lang w:val="pl-PL" w:eastAsia="pl-PL"/>
          </w:rPr>
          <w:tab/>
        </w:r>
        <w:r w:rsidR="00D824B9" w:rsidRPr="00064131">
          <w:rPr>
            <w:rStyle w:val="Hipercze"/>
          </w:rPr>
          <w:t>Detailed evaluation of exposure and/or DFR studies relied upon (KCP 7.2, KCP 7.2.1.1, KCP 7.2.2.1, KCP 7.2.3.1)</w:t>
        </w:r>
        <w:r w:rsidR="00D824B9">
          <w:rPr>
            <w:webHidden/>
          </w:rPr>
          <w:tab/>
        </w:r>
        <w:r>
          <w:rPr>
            <w:webHidden/>
          </w:rPr>
          <w:fldChar w:fldCharType="begin"/>
        </w:r>
        <w:r w:rsidR="00D824B9">
          <w:rPr>
            <w:webHidden/>
          </w:rPr>
          <w:instrText xml:space="preserve"> PAGEREF _Toc179811323 \h </w:instrText>
        </w:r>
        <w:r>
          <w:rPr>
            <w:webHidden/>
          </w:rPr>
        </w:r>
        <w:r>
          <w:rPr>
            <w:webHidden/>
          </w:rPr>
          <w:fldChar w:fldCharType="separate"/>
        </w:r>
        <w:r w:rsidR="00D824B9">
          <w:rPr>
            <w:webHidden/>
          </w:rPr>
          <w:t>44</w:t>
        </w:r>
        <w:r>
          <w:rPr>
            <w:webHidden/>
          </w:rPr>
          <w:fldChar w:fldCharType="end"/>
        </w:r>
      </w:hyperlink>
    </w:p>
    <w:p w:rsidR="007000DA" w:rsidRPr="00B32849" w:rsidRDefault="00772379"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r>
        <w:fldChar w:fldCharType="end"/>
      </w:r>
    </w:p>
    <w:p w:rsidR="008E0ED5" w:rsidRPr="00B32849" w:rsidRDefault="008E0ED5" w:rsidP="008E0ED5">
      <w:pPr>
        <w:pStyle w:val="RepStandard"/>
      </w:pPr>
    </w:p>
    <w:p w:rsidR="00C81348" w:rsidRDefault="00C81348" w:rsidP="008725E2">
      <w:pPr>
        <w:pStyle w:val="Nagwek1"/>
      </w:pPr>
      <w:bookmarkStart w:id="1" w:name="_Toc328552143"/>
      <w:bookmarkStart w:id="2" w:name="_Toc332020587"/>
      <w:bookmarkStart w:id="3" w:name="_Toc332203430"/>
      <w:bookmarkStart w:id="4" w:name="_Toc332206982"/>
      <w:bookmarkStart w:id="5" w:name="_Toc332296154"/>
      <w:bookmarkStart w:id="6" w:name="_Toc336434721"/>
      <w:bookmarkStart w:id="7" w:name="_Toc397516872"/>
      <w:bookmarkStart w:id="8" w:name="_Toc398627852"/>
      <w:bookmarkStart w:id="9" w:name="_Toc399335707"/>
      <w:bookmarkStart w:id="10" w:name="_Toc399764847"/>
      <w:bookmarkStart w:id="11" w:name="_Toc412562639"/>
      <w:bookmarkStart w:id="12" w:name="_Toc412562716"/>
      <w:bookmarkStart w:id="13" w:name="_Toc413662708"/>
      <w:bookmarkStart w:id="14" w:name="_Toc413673565"/>
      <w:bookmarkStart w:id="15" w:name="_Toc413673663"/>
      <w:bookmarkStart w:id="16" w:name="_Toc413673734"/>
      <w:bookmarkStart w:id="17" w:name="_Toc413928633"/>
      <w:bookmarkStart w:id="18" w:name="_Toc413936247"/>
      <w:bookmarkStart w:id="19" w:name="_Toc413937958"/>
      <w:bookmarkStart w:id="20" w:name="_Toc414026685"/>
      <w:bookmarkStart w:id="21" w:name="_Toc414974064"/>
      <w:bookmarkStart w:id="22" w:name="_Toc450900938"/>
      <w:bookmarkStart w:id="23" w:name="_Toc450920604"/>
      <w:bookmarkStart w:id="24" w:name="_Toc450923725"/>
      <w:bookmarkStart w:id="25" w:name="_Toc454460958"/>
      <w:bookmarkStart w:id="26" w:name="_Toc454462794"/>
      <w:bookmarkStart w:id="27" w:name="_Toc179811284"/>
      <w:r w:rsidRPr="00B32849">
        <w:t>Mammalian Toxicology (KCP 7)</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B50E9B" w:rsidRPr="00B50E9B" w:rsidRDefault="00B50E9B" w:rsidP="00B50E9B">
      <w:pPr>
        <w:pStyle w:val="RepStandard"/>
        <w:rPr>
          <w:b/>
          <w:bCs/>
        </w:rPr>
      </w:pPr>
      <w:r w:rsidRPr="00B50E9B">
        <w:rPr>
          <w:b/>
          <w:bCs/>
        </w:rPr>
        <w:t>Introduction</w:t>
      </w:r>
    </w:p>
    <w:p w:rsidR="00B50E9B" w:rsidRDefault="00B50E9B" w:rsidP="00B50E9B">
      <w:pPr>
        <w:pStyle w:val="RepStandard"/>
      </w:pPr>
    </w:p>
    <w:p w:rsidR="006478F7" w:rsidRDefault="00B50E9B" w:rsidP="00B50E9B">
      <w:pPr>
        <w:pStyle w:val="RepStandard"/>
      </w:pPr>
      <w:r>
        <w:t xml:space="preserve">This application is being submitted to support the registration of </w:t>
      </w:r>
      <w:proofErr w:type="spellStart"/>
      <w:r>
        <w:t>Meso-Iodo</w:t>
      </w:r>
      <w:proofErr w:type="spellEnd"/>
      <w:r>
        <w:t xml:space="preserve"> OD-Life, an oil dispersion </w:t>
      </w:r>
      <w:r w:rsidR="00C859B6">
        <w:t xml:space="preserve">(OD) </w:t>
      </w:r>
      <w:r>
        <w:t xml:space="preserve">formulation containing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 xml:space="preserve">-diethyl in Poland </w:t>
      </w:r>
      <w:r w:rsidRPr="00B50E9B">
        <w:t>under Regulation (EC) 1107/2009</w:t>
      </w:r>
      <w:r>
        <w:t xml:space="preserve">. </w:t>
      </w:r>
      <w:r w:rsidRPr="00B50E9B">
        <w:t xml:space="preserve">As the applicant also intends to register the product in Germany, they have been listed as </w:t>
      </w:r>
      <w:r w:rsidR="002D0BE7">
        <w:t>a</w:t>
      </w:r>
      <w:r>
        <w:t xml:space="preserve"> </w:t>
      </w:r>
      <w:r w:rsidR="00EB50A4">
        <w:t>‘</w:t>
      </w:r>
      <w:r>
        <w:t>concerned</w:t>
      </w:r>
      <w:r w:rsidR="00EB50A4">
        <w:t>’</w:t>
      </w:r>
      <w:r w:rsidRPr="00B50E9B">
        <w:t xml:space="preserve"> M</w:t>
      </w:r>
      <w:r>
        <w:t xml:space="preserve">ember </w:t>
      </w:r>
      <w:r w:rsidRPr="00B50E9B">
        <w:t>S</w:t>
      </w:r>
      <w:r>
        <w:t>tate</w:t>
      </w:r>
      <w:r w:rsidRPr="00B50E9B">
        <w:t xml:space="preserve"> (cMS)</w:t>
      </w:r>
      <w:r>
        <w:t xml:space="preserve">. </w:t>
      </w:r>
      <w:r w:rsidR="006478F7" w:rsidRPr="006478F7">
        <w:t xml:space="preserve">This evaluation is required subsequent to the inclusion of </w:t>
      </w:r>
      <w:proofErr w:type="spellStart"/>
      <w:r w:rsidR="006478F7" w:rsidRPr="006478F7">
        <w:t>mesosulfuron</w:t>
      </w:r>
      <w:proofErr w:type="spellEnd"/>
      <w:r w:rsidR="002465C7">
        <w:t>-methyl</w:t>
      </w:r>
      <w:r w:rsidR="006478F7" w:rsidRPr="006478F7">
        <w:t xml:space="preserve"> on Annex I of Directive 91/414/EEC under Commission Directive 2003/119/EC on 1</w:t>
      </w:r>
      <w:r w:rsidR="006478F7">
        <w:rPr>
          <w:vertAlign w:val="superscript"/>
        </w:rPr>
        <w:t>st</w:t>
      </w:r>
      <w:r w:rsidR="006478F7" w:rsidRPr="006478F7">
        <w:t xml:space="preserve"> April 2004</w:t>
      </w:r>
      <w:r w:rsidR="006478F7">
        <w:t xml:space="preserve">. </w:t>
      </w:r>
      <w:proofErr w:type="spellStart"/>
      <w:r w:rsidR="006478F7">
        <w:t>Mesosulfuron</w:t>
      </w:r>
      <w:proofErr w:type="spellEnd"/>
      <w:r w:rsidR="006478F7">
        <w:t xml:space="preserve">-methyl was renewed under </w:t>
      </w:r>
      <w:r w:rsidR="006478F7" w:rsidRPr="006478F7">
        <w:t xml:space="preserve">Implementing Regulation </w:t>
      </w:r>
      <w:r w:rsidR="00CD6E48">
        <w:t xml:space="preserve">(EU) </w:t>
      </w:r>
      <w:r w:rsidR="006478F7" w:rsidRPr="006478F7">
        <w:t>2017/755</w:t>
      </w:r>
      <w:r w:rsidR="006478F7">
        <w:t xml:space="preserve"> on </w:t>
      </w:r>
      <w:r w:rsidR="006478F7" w:rsidRPr="006478F7">
        <w:t>1</w:t>
      </w:r>
      <w:r w:rsidR="006478F7">
        <w:rPr>
          <w:vertAlign w:val="superscript"/>
        </w:rPr>
        <w:t>st</w:t>
      </w:r>
      <w:r w:rsidR="006478F7">
        <w:t xml:space="preserve"> </w:t>
      </w:r>
      <w:r w:rsidR="006478F7" w:rsidRPr="006478F7">
        <w:t>July</w:t>
      </w:r>
      <w:r w:rsidR="006478F7">
        <w:t xml:space="preserve"> 2017. </w:t>
      </w:r>
      <w:proofErr w:type="spellStart"/>
      <w:r w:rsidR="006242CD">
        <w:t>I</w:t>
      </w:r>
      <w:r w:rsidR="006242CD" w:rsidRPr="006242CD">
        <w:t>odosulfuron</w:t>
      </w:r>
      <w:proofErr w:type="spellEnd"/>
      <w:r w:rsidR="002465C7">
        <w:t>-methyl-sodium</w:t>
      </w:r>
      <w:r w:rsidR="006242CD">
        <w:t xml:space="preserve"> was included</w:t>
      </w:r>
      <w:r w:rsidR="006242CD" w:rsidRPr="006242CD">
        <w:t xml:space="preserve"> on Annex I of Directive 91/414/EEC under Commission Directive 2003/84/EC on 1</w:t>
      </w:r>
      <w:r w:rsidR="006242CD">
        <w:rPr>
          <w:vertAlign w:val="superscript"/>
        </w:rPr>
        <w:t>st</w:t>
      </w:r>
      <w:r w:rsidR="006242CD" w:rsidRPr="006242CD">
        <w:t xml:space="preserve"> </w:t>
      </w:r>
      <w:r w:rsidR="002465C7">
        <w:t>January</w:t>
      </w:r>
      <w:r w:rsidR="006242CD" w:rsidRPr="006242CD">
        <w:t xml:space="preserve"> 2004</w:t>
      </w:r>
      <w:r w:rsidR="006242CD">
        <w:t xml:space="preserve">. </w:t>
      </w:r>
      <w:proofErr w:type="spellStart"/>
      <w:r w:rsidR="002465C7" w:rsidRPr="002465C7">
        <w:t>Iodosulfuron</w:t>
      </w:r>
      <w:proofErr w:type="spellEnd"/>
      <w:r w:rsidR="002465C7" w:rsidRPr="002465C7">
        <w:t>-methyl-sodium</w:t>
      </w:r>
      <w:r w:rsidR="002465C7">
        <w:t xml:space="preserve"> </w:t>
      </w:r>
      <w:r w:rsidR="006242CD">
        <w:t>was renewed under Implementing Regulation (EU) 2017/407 on 1</w:t>
      </w:r>
      <w:r w:rsidR="006242CD" w:rsidRPr="006242CD">
        <w:rPr>
          <w:vertAlign w:val="superscript"/>
        </w:rPr>
        <w:t>st</w:t>
      </w:r>
      <w:r w:rsidR="006242CD">
        <w:t xml:space="preserve"> April 2017.</w:t>
      </w:r>
      <w:r w:rsidR="00DD112E" w:rsidRPr="00DD112E">
        <w:t xml:space="preserve"> </w:t>
      </w:r>
      <w:proofErr w:type="spellStart"/>
      <w:r w:rsidR="00DD112E" w:rsidRPr="00DD112E">
        <w:t>Meso-Iodo</w:t>
      </w:r>
      <w:proofErr w:type="spellEnd"/>
      <w:r w:rsidR="00DD112E" w:rsidRPr="00DD112E">
        <w:t xml:space="preserve"> OD-Life</w:t>
      </w:r>
      <w:r w:rsidR="00DD112E">
        <w:t xml:space="preserve"> will be referred to as product 054-01-05 for the remainder of this document.</w:t>
      </w:r>
    </w:p>
    <w:p w:rsidR="00C859B6" w:rsidRDefault="00C859B6" w:rsidP="00B50E9B">
      <w:pPr>
        <w:pStyle w:val="RepStandard"/>
      </w:pPr>
    </w:p>
    <w:p w:rsidR="00C859B6" w:rsidRDefault="00C859B6" w:rsidP="00B50E9B">
      <w:pPr>
        <w:pStyle w:val="RepStandard"/>
      </w:pPr>
      <w:r>
        <w:t xml:space="preserve">Product </w:t>
      </w:r>
      <w:r w:rsidRPr="00C859B6">
        <w:t>054-01-05 is a professional use herbicide formulated as an oil dispersion</w:t>
      </w:r>
      <w:bookmarkStart w:id="28" w:name="_Hlk121409199"/>
      <w:r w:rsidR="00DD112E">
        <w:t xml:space="preserve"> </w:t>
      </w:r>
      <w:r w:rsidRPr="00C859B6">
        <w:t xml:space="preserve">containing 10 g/L </w:t>
      </w:r>
      <w:proofErr w:type="spellStart"/>
      <w:r w:rsidRPr="00C859B6">
        <w:t>mesosulfuron</w:t>
      </w:r>
      <w:proofErr w:type="spellEnd"/>
      <w:r w:rsidRPr="00C859B6">
        <w:t xml:space="preserve">-methyl, 2 g/L </w:t>
      </w:r>
      <w:proofErr w:type="spellStart"/>
      <w:r w:rsidRPr="00C859B6">
        <w:t>iodosulfuron</w:t>
      </w:r>
      <w:proofErr w:type="spellEnd"/>
      <w:r w:rsidRPr="00C859B6">
        <w:t xml:space="preserve">-methyl-sodium and 30 g/L </w:t>
      </w:r>
      <w:proofErr w:type="spellStart"/>
      <w:r w:rsidRPr="00C859B6">
        <w:t>mefenpyr</w:t>
      </w:r>
      <w:proofErr w:type="spellEnd"/>
      <w:r w:rsidRPr="00C859B6">
        <w:t>-diethyl</w:t>
      </w:r>
      <w:bookmarkEnd w:id="28"/>
      <w:r w:rsidRPr="00C859B6">
        <w:t>. The product has not previously been evaluated in Poland according to Uniform Principles.</w:t>
      </w:r>
    </w:p>
    <w:p w:rsidR="004C2B7C" w:rsidRDefault="004C2B7C" w:rsidP="00B50E9B">
      <w:pPr>
        <w:pStyle w:val="RepStandard"/>
      </w:pPr>
    </w:p>
    <w:p w:rsidR="00CD1A57" w:rsidRDefault="00A3337F" w:rsidP="00A3337F">
      <w:pPr>
        <w:pStyle w:val="RepStandard"/>
      </w:pPr>
      <w:r>
        <w:t xml:space="preserve">The sources of </w:t>
      </w:r>
      <w:proofErr w:type="spellStart"/>
      <w:r>
        <w:t>mesosulfuron</w:t>
      </w:r>
      <w:proofErr w:type="spellEnd"/>
      <w:r>
        <w:t>-methyl (source</w:t>
      </w:r>
      <w:r w:rsidR="00320A89">
        <w:t xml:space="preserve"> </w:t>
      </w:r>
      <w:r>
        <w:t xml:space="preserve">1 (20151195 PWSG), source 2 (20190977 PWSG)) </w:t>
      </w:r>
      <w:r w:rsidR="002D0BE7">
        <w:t xml:space="preserve">and </w:t>
      </w:r>
      <w:proofErr w:type="spellStart"/>
      <w:r w:rsidR="002D0BE7">
        <w:t>iodosulfuron</w:t>
      </w:r>
      <w:proofErr w:type="spellEnd"/>
      <w:r w:rsidR="002D0BE7">
        <w:t>-methyl-sodium (</w:t>
      </w:r>
      <w:r w:rsidR="002D0BE7" w:rsidRPr="002D0BE7">
        <w:t>20150953 PWSG</w:t>
      </w:r>
      <w:r w:rsidR="002D0BE7">
        <w:t xml:space="preserve">) </w:t>
      </w:r>
      <w:r>
        <w:t>have previously been assessed by the CTGB</w:t>
      </w:r>
      <w:r w:rsidR="00CD1A57">
        <w:t xml:space="preserve"> in the Netherlands</w:t>
      </w:r>
      <w:r>
        <w:t xml:space="preserve"> and deemed technically equivalent to the Annex </w:t>
      </w:r>
      <w:r w:rsidR="007A5D1E">
        <w:t>I</w:t>
      </w:r>
      <w:r>
        <w:t xml:space="preserve"> reference source. </w:t>
      </w:r>
      <w:r w:rsidR="00AA7356">
        <w:t xml:space="preserve">The source of </w:t>
      </w:r>
      <w:proofErr w:type="spellStart"/>
      <w:r w:rsidR="00AA7356">
        <w:t>iodosulfuron</w:t>
      </w:r>
      <w:proofErr w:type="spellEnd"/>
      <w:r w:rsidR="00AA7356">
        <w:t xml:space="preserve">-methyl-sodium was </w:t>
      </w:r>
      <w:r w:rsidR="000305C1">
        <w:t>later</w:t>
      </w:r>
      <w:r w:rsidR="002D0BE7">
        <w:t xml:space="preserve"> </w:t>
      </w:r>
      <w:r w:rsidR="001D0691">
        <w:t>assessed</w:t>
      </w:r>
      <w:r w:rsidR="00AA7356">
        <w:t xml:space="preserve"> by </w:t>
      </w:r>
      <w:r w:rsidR="00914190">
        <w:t xml:space="preserve">the </w:t>
      </w:r>
      <w:r w:rsidR="009E79F7" w:rsidRPr="009E79F7">
        <w:t>Central Institute for Supervising and Testing in Agriculture (UKZUZ 038555/2022)</w:t>
      </w:r>
      <w:r w:rsidR="009E79F7">
        <w:t xml:space="preserve"> </w:t>
      </w:r>
      <w:r w:rsidR="00AA7356">
        <w:t xml:space="preserve">in the </w:t>
      </w:r>
      <w:r w:rsidR="001D0691">
        <w:t>Czech</w:t>
      </w:r>
      <w:r w:rsidR="00AA7356">
        <w:t xml:space="preserve"> Republic following Annex I renewal, </w:t>
      </w:r>
      <w:r w:rsidR="000305C1">
        <w:t>where</w:t>
      </w:r>
      <w:r w:rsidR="000305C1" w:rsidRPr="000305C1">
        <w:t xml:space="preserve"> it was concluded that the source still met the specification listed in the renewal regulation</w:t>
      </w:r>
      <w:r>
        <w:t xml:space="preserve">. </w:t>
      </w:r>
      <w:r w:rsidR="00633BB4" w:rsidRPr="00633BB4">
        <w:t>The results of each of these assessments were sent to Member States for commenting. Details of the evaluations are available on CIRCA BC.</w:t>
      </w:r>
    </w:p>
    <w:p w:rsidR="00545250" w:rsidRDefault="00545250" w:rsidP="00B50E9B">
      <w:pPr>
        <w:pStyle w:val="RepStandard"/>
      </w:pPr>
    </w:p>
    <w:p w:rsidR="00545250" w:rsidRDefault="00545250" w:rsidP="00B50E9B">
      <w:pPr>
        <w:pStyle w:val="RepStandard"/>
      </w:pPr>
      <w:r w:rsidRPr="00545250">
        <w:t xml:space="preserve">As part of this application, Life Scientific Ltd. wishes to have the proposed formulation assessed for comparability to the </w:t>
      </w:r>
      <w:r w:rsidR="007E5E5D">
        <w:t>Polish</w:t>
      </w:r>
      <w:r w:rsidRPr="00545250">
        <w:t xml:space="preserve"> reference product </w:t>
      </w:r>
      <w:r w:rsidR="007E5E5D">
        <w:t>Atlantis 12 OD</w:t>
      </w:r>
      <w:r w:rsidRPr="00545250">
        <w:t xml:space="preserve"> </w:t>
      </w:r>
      <w:r w:rsidR="00B27D39">
        <w:t>(</w:t>
      </w:r>
      <w:r w:rsidR="007E5E5D" w:rsidRPr="007E5E5D">
        <w:t xml:space="preserve">10 g/L </w:t>
      </w:r>
      <w:proofErr w:type="spellStart"/>
      <w:r w:rsidR="007E5E5D" w:rsidRPr="007E5E5D">
        <w:t>mesosulfuron</w:t>
      </w:r>
      <w:proofErr w:type="spellEnd"/>
      <w:r w:rsidR="007E5E5D" w:rsidRPr="007E5E5D">
        <w:t xml:space="preserve">-methyl, 2 g/L </w:t>
      </w:r>
      <w:proofErr w:type="spellStart"/>
      <w:r w:rsidR="007E5E5D" w:rsidRPr="007E5E5D">
        <w:t>iodosulfuron</w:t>
      </w:r>
      <w:proofErr w:type="spellEnd"/>
      <w:r w:rsidR="007E5E5D" w:rsidRPr="007E5E5D">
        <w:t xml:space="preserve">-methyl-sodium and 30 g/L </w:t>
      </w:r>
      <w:proofErr w:type="spellStart"/>
      <w:r w:rsidR="007E5E5D" w:rsidRPr="007E5E5D">
        <w:t>mefenpyr</w:t>
      </w:r>
      <w:proofErr w:type="spellEnd"/>
      <w:r w:rsidR="007E5E5D" w:rsidRPr="007E5E5D">
        <w:t>-diethyl</w:t>
      </w:r>
      <w:r w:rsidRPr="00545250">
        <w:t>,</w:t>
      </w:r>
      <w:r w:rsidR="001139B1">
        <w:t xml:space="preserve"> OD,</w:t>
      </w:r>
      <w:r w:rsidRPr="00545250">
        <w:t xml:space="preserve"> authorisation number</w:t>
      </w:r>
      <w:r w:rsidR="007E5E5D">
        <w:t xml:space="preserve"> </w:t>
      </w:r>
      <w:r w:rsidR="007E5E5D" w:rsidRPr="007E5E5D">
        <w:t>R-98/2009</w:t>
      </w:r>
      <w:r w:rsidRPr="00545250">
        <w:t>) of Bayer AG. The applicant considers product 0</w:t>
      </w:r>
      <w:r w:rsidR="007E5E5D">
        <w:t>54-01-05</w:t>
      </w:r>
      <w:r w:rsidRPr="00545250">
        <w:t xml:space="preserve"> to be comparable, if not identical to </w:t>
      </w:r>
      <w:r w:rsidR="007E5E5D">
        <w:t>Atlantis 12 OD</w:t>
      </w:r>
      <w:r w:rsidRPr="00545250">
        <w:t xml:space="preserve">: details provided in Table 1.2-1 in the confidential dossier of this submission (Draft Registration Report – Part C). The uses and claims for which approval is being sought are the same as those already </w:t>
      </w:r>
      <w:r w:rsidR="007E5E5D">
        <w:t>approved for Atlantis 12 OD in Poland</w:t>
      </w:r>
      <w:r w:rsidR="002C2927">
        <w:t xml:space="preserve"> and Germany</w:t>
      </w:r>
      <w:r w:rsidR="007E5E5D">
        <w:t>.</w:t>
      </w:r>
    </w:p>
    <w:p w:rsidR="00562CCA" w:rsidRDefault="00562CCA" w:rsidP="005223B8">
      <w:pPr>
        <w:jc w:val="both"/>
      </w:pPr>
    </w:p>
    <w:p w:rsidR="00562CCA" w:rsidRDefault="00562CCA" w:rsidP="005223B8">
      <w:pPr>
        <w:jc w:val="both"/>
      </w:pPr>
      <w:r w:rsidRPr="005A11DB">
        <w:t xml:space="preserve">Atlantis 12 OD (authorisation number R-98/2009) was </w:t>
      </w:r>
      <w:r w:rsidR="000F78F8" w:rsidRPr="005A11DB">
        <w:t xml:space="preserve">first </w:t>
      </w:r>
      <w:proofErr w:type="spellStart"/>
      <w:r w:rsidR="000F78F8" w:rsidRPr="005A11DB">
        <w:t>authori</w:t>
      </w:r>
      <w:r w:rsidR="001F64A0" w:rsidRPr="005A11DB">
        <w:t>s</w:t>
      </w:r>
      <w:r w:rsidR="000F78F8" w:rsidRPr="005A11DB">
        <w:t>ed</w:t>
      </w:r>
      <w:proofErr w:type="spellEnd"/>
      <w:r w:rsidR="000F78F8" w:rsidRPr="005A11DB">
        <w:t xml:space="preserve"> on 14</w:t>
      </w:r>
      <w:r w:rsidR="000F78F8" w:rsidRPr="005A11DB">
        <w:rPr>
          <w:vertAlign w:val="superscript"/>
        </w:rPr>
        <w:t>th</w:t>
      </w:r>
      <w:r w:rsidR="000F78F8" w:rsidRPr="005A11DB">
        <w:t xml:space="preserve"> August 2009 and </w:t>
      </w:r>
      <w:r w:rsidRPr="005A11DB">
        <w:t>re-registered on 24</w:t>
      </w:r>
      <w:r w:rsidRPr="005A11DB">
        <w:rPr>
          <w:vertAlign w:val="superscript"/>
        </w:rPr>
        <w:t>th</w:t>
      </w:r>
      <w:r w:rsidRPr="005A11DB">
        <w:t xml:space="preserve"> August 202</w:t>
      </w:r>
      <w:r w:rsidR="00F2018E" w:rsidRPr="005A11DB">
        <w:t>0</w:t>
      </w:r>
      <w:r w:rsidRPr="005A11DB">
        <w:t xml:space="preserve">. Given the </w:t>
      </w:r>
      <w:r w:rsidR="0056121C">
        <w:t xml:space="preserve">30-month </w:t>
      </w:r>
      <w:r w:rsidRPr="005A11DB">
        <w:t xml:space="preserve">data protection period for Atlantis 12 OD </w:t>
      </w:r>
      <w:r w:rsidR="0056121C">
        <w:t xml:space="preserve">and the associated active substances, namely </w:t>
      </w:r>
      <w:proofErr w:type="spellStart"/>
      <w:r w:rsidR="002250F6">
        <w:t>m</w:t>
      </w:r>
      <w:r w:rsidR="0056121C">
        <w:t>esosulfuron</w:t>
      </w:r>
      <w:proofErr w:type="spellEnd"/>
      <w:r w:rsidR="0056121C">
        <w:t>-methyl</w:t>
      </w:r>
      <w:r w:rsidR="0056121C" w:rsidRPr="005A11DB">
        <w:t xml:space="preserve"> </w:t>
      </w:r>
      <w:r w:rsidR="0056121C">
        <w:t xml:space="preserve">and </w:t>
      </w:r>
      <w:proofErr w:type="spellStart"/>
      <w:r w:rsidR="002250F6">
        <w:t>i</w:t>
      </w:r>
      <w:r w:rsidR="0056121C" w:rsidRPr="006242CD">
        <w:t>odosulfuron</w:t>
      </w:r>
      <w:proofErr w:type="spellEnd"/>
      <w:r w:rsidR="0056121C">
        <w:t xml:space="preserve">-methyl-sodium, </w:t>
      </w:r>
      <w:r w:rsidRPr="005A11DB">
        <w:t xml:space="preserve">expired in </w:t>
      </w:r>
      <w:r w:rsidR="00F2018E" w:rsidRPr="005A11DB">
        <w:t>February 2023</w:t>
      </w:r>
      <w:r w:rsidRPr="005A11DB">
        <w:t>, a new application is being submitted to apply for the authorisation of product 0</w:t>
      </w:r>
      <w:r w:rsidR="00F2018E" w:rsidRPr="005A11DB">
        <w:t>54</w:t>
      </w:r>
      <w:r w:rsidRPr="005A11DB">
        <w:t>-01-0</w:t>
      </w:r>
      <w:r w:rsidR="00F2018E" w:rsidRPr="005A11DB">
        <w:t>5</w:t>
      </w:r>
      <w:r w:rsidRPr="005A11DB">
        <w:t xml:space="preserve"> in </w:t>
      </w:r>
      <w:r w:rsidR="002C2927">
        <w:t>the Central Zone</w:t>
      </w:r>
      <w:r w:rsidRPr="005A11DB">
        <w:t xml:space="preserve">, whereby the applicant submits that it is scientifically valid to extrapolate data and information submitted by </w:t>
      </w:r>
      <w:r w:rsidR="00F2018E" w:rsidRPr="005A11DB">
        <w:t>Bayer</w:t>
      </w:r>
      <w:r w:rsidRPr="005A11DB">
        <w:t xml:space="preserve"> AG on </w:t>
      </w:r>
      <w:r w:rsidR="00F2018E" w:rsidRPr="005A11DB">
        <w:t>Atlantis 12 OD</w:t>
      </w:r>
      <w:r w:rsidRPr="005A11DB">
        <w:t xml:space="preserve"> and use it to evaluate product </w:t>
      </w:r>
      <w:r w:rsidR="00F2018E" w:rsidRPr="005A11DB">
        <w:t>054</w:t>
      </w:r>
      <w:r w:rsidRPr="005A11DB">
        <w:t>-01-0</w:t>
      </w:r>
      <w:r w:rsidR="00F2018E" w:rsidRPr="005A11DB">
        <w:t>5</w:t>
      </w:r>
      <w:r w:rsidRPr="005A11DB">
        <w:t>. This includes the data supporting uses that were applied for after the introduction of Regulation 1107</w:t>
      </w:r>
      <w:r w:rsidR="009C1370">
        <w:t>/2009</w:t>
      </w:r>
      <w:r w:rsidRPr="005A11DB">
        <w:t xml:space="preserve"> on 14</w:t>
      </w:r>
      <w:r w:rsidR="00F2018E" w:rsidRPr="005A11DB">
        <w:rPr>
          <w:vertAlign w:val="superscript"/>
        </w:rPr>
        <w:t>th</w:t>
      </w:r>
      <w:r w:rsidRPr="005A11DB">
        <w:t xml:space="preserve"> of June 2011. According to Paragraph 22 of Commission Notice - Technical Guidelines on Data Protection according to Regulation (EC) No. 1107/2009, 2019/C 229/01, new use data attracts 10 years protection from the date of first authorisation of that product in each Member State (not the date of authorisation of the new crop). Therefore, under Regulation 1107</w:t>
      </w:r>
      <w:r w:rsidR="009C1370">
        <w:t>/2009</w:t>
      </w:r>
      <w:r w:rsidRPr="005A11DB">
        <w:t>, new use data attracts zero data protection when the original 10-year data protection of the product has expired.</w:t>
      </w:r>
    </w:p>
    <w:p w:rsidR="00FE4AEE" w:rsidRDefault="00FE4AEE" w:rsidP="005223B8">
      <w:pPr>
        <w:jc w:val="both"/>
      </w:pPr>
    </w:p>
    <w:p w:rsidR="00E6260D" w:rsidRDefault="00FE4AEE" w:rsidP="005223B8">
      <w:pPr>
        <w:jc w:val="both"/>
      </w:pPr>
      <w:r w:rsidRPr="00FE4AEE">
        <w:t xml:space="preserve">Under CLP (Regulation (EC) 1272/2008), it is proposed that product </w:t>
      </w:r>
      <w:r>
        <w:t>054</w:t>
      </w:r>
      <w:r w:rsidRPr="00FE4AEE">
        <w:t>-01-0</w:t>
      </w:r>
      <w:r>
        <w:t>5</w:t>
      </w:r>
      <w:r w:rsidRPr="00FE4AEE">
        <w:t xml:space="preserve"> is classified as H319 from a mammalian toxicology perspective in line with that of the reference product, </w:t>
      </w:r>
      <w:r>
        <w:t>Atlantis 12 OD</w:t>
      </w:r>
      <w:r w:rsidRPr="00FE4AEE">
        <w:t>.</w:t>
      </w:r>
    </w:p>
    <w:p w:rsidR="00D1565D" w:rsidRDefault="00E6260D" w:rsidP="005223B8">
      <w:pPr>
        <w:jc w:val="both"/>
        <w:rPr>
          <w:lang w:val="en-GB"/>
        </w:rPr>
      </w:pPr>
      <w:r w:rsidRPr="002C2927">
        <w:rPr>
          <w:lang w:val="en-GB"/>
        </w:rPr>
        <w:lastRenderedPageBreak/>
        <w:t>Section 6.6 of this document, including the non-dietary risk assessment, has been updated to meet the requirements of ‘Guidance on the assessment of exposure of operators, workers, residents and bystanders in risk assessment for plant protection products; EFSA Journal 2022;20(1):7032’. The OPEX calculator version: v 1.0.1 has been used for the non-dietary risk assessment.</w:t>
      </w:r>
    </w:p>
    <w:p w:rsidR="00FE4AEE" w:rsidRPr="002C2927" w:rsidRDefault="00E6260D" w:rsidP="005223B8">
      <w:pPr>
        <w:jc w:val="both"/>
        <w:rPr>
          <w:lang w:val="en-GB"/>
        </w:rPr>
      </w:pPr>
      <w:r w:rsidRPr="002C2927">
        <w:rPr>
          <w:lang w:val="en-GB"/>
        </w:rPr>
        <w:t xml:space="preserve"> </w:t>
      </w:r>
    </w:p>
    <w:p w:rsidR="00D1565D" w:rsidRPr="00B25261" w:rsidRDefault="00D1565D" w:rsidP="00D1565D">
      <w:pPr>
        <w:shd w:val="clear" w:color="auto" w:fill="BFBFBF" w:themeFill="background1" w:themeFillShade="BF"/>
        <w:jc w:val="both"/>
        <w:rPr>
          <w:b/>
          <w:sz w:val="24"/>
          <w:szCs w:val="24"/>
        </w:rPr>
      </w:pPr>
      <w:r w:rsidRPr="003D2FBE">
        <w:rPr>
          <w:b/>
          <w:sz w:val="24"/>
          <w:szCs w:val="24"/>
          <w:highlight w:val="lightGray"/>
        </w:rPr>
        <w:t>The explanation (as above) is accepted</w:t>
      </w:r>
    </w:p>
    <w:p w:rsidR="00D1565D" w:rsidRPr="00B32849" w:rsidRDefault="00D1565D" w:rsidP="00D1565D">
      <w:pPr>
        <w:pStyle w:val="Nagwek2"/>
      </w:pPr>
      <w:bookmarkStart w:id="29" w:name="_Toc328552144"/>
      <w:bookmarkStart w:id="30" w:name="_Toc332020588"/>
      <w:bookmarkStart w:id="31" w:name="_Toc332203431"/>
      <w:bookmarkStart w:id="32" w:name="_Toc332206983"/>
      <w:bookmarkStart w:id="33" w:name="_Toc332296155"/>
      <w:bookmarkStart w:id="34" w:name="_Toc336434722"/>
      <w:bookmarkStart w:id="35" w:name="_Toc397516873"/>
      <w:bookmarkStart w:id="36" w:name="_Toc398627853"/>
      <w:bookmarkStart w:id="37" w:name="_Toc399335708"/>
      <w:bookmarkStart w:id="38" w:name="_Toc399764848"/>
      <w:bookmarkStart w:id="39" w:name="_Toc412562640"/>
      <w:bookmarkStart w:id="40" w:name="_Toc412562717"/>
      <w:bookmarkStart w:id="41" w:name="_Toc413662709"/>
      <w:bookmarkStart w:id="42" w:name="_Toc413673566"/>
      <w:bookmarkStart w:id="43" w:name="_Toc413673664"/>
      <w:bookmarkStart w:id="44" w:name="_Toc413673735"/>
      <w:bookmarkStart w:id="45" w:name="_Toc413928634"/>
      <w:bookmarkStart w:id="46" w:name="_Toc413936248"/>
      <w:bookmarkStart w:id="47" w:name="_Toc413937959"/>
      <w:bookmarkStart w:id="48" w:name="_Toc414026686"/>
      <w:bookmarkStart w:id="49" w:name="_Toc414974065"/>
      <w:bookmarkStart w:id="50" w:name="_Toc450900939"/>
      <w:bookmarkStart w:id="51" w:name="_Toc450920605"/>
      <w:bookmarkStart w:id="52" w:name="_Toc450923726"/>
      <w:bookmarkStart w:id="53" w:name="_Toc454460959"/>
      <w:bookmarkStart w:id="54" w:name="_Toc454462795"/>
      <w:bookmarkStart w:id="55" w:name="_Toc130385220"/>
      <w:bookmarkStart w:id="56" w:name="_Toc179811285"/>
      <w:r w:rsidRPr="00B32849">
        <w:t>Summary</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D1565D" w:rsidRPr="00B32849" w:rsidRDefault="00D1565D" w:rsidP="00D1565D">
      <w:pPr>
        <w:pStyle w:val="RepLabel"/>
        <w:spacing w:before="240"/>
      </w:pPr>
      <w:bookmarkStart w:id="57" w:name="_Ref325720970"/>
      <w:r w:rsidRPr="00B32849">
        <w:t>Table </w:t>
      </w:r>
      <w:r w:rsidR="00772379">
        <w:fldChar w:fldCharType="begin"/>
      </w:r>
      <w:r>
        <w:instrText xml:space="preserve"> STYLEREF 2 \s </w:instrText>
      </w:r>
      <w:r w:rsidR="00772379">
        <w:fldChar w:fldCharType="separate"/>
      </w:r>
      <w:r>
        <w:rPr>
          <w:noProof/>
        </w:rPr>
        <w:t>6.1</w:t>
      </w:r>
      <w:r w:rsidR="00772379">
        <w:fldChar w:fldCharType="end"/>
      </w:r>
      <w:r>
        <w:noBreakHyphen/>
      </w:r>
      <w:r w:rsidR="00772379">
        <w:fldChar w:fldCharType="begin"/>
      </w:r>
      <w:r>
        <w:instrText xml:space="preserve"> SEQ Table \* ARABIC \s 2 </w:instrText>
      </w:r>
      <w:r w:rsidR="00772379">
        <w:fldChar w:fldCharType="separate"/>
      </w:r>
      <w:r>
        <w:rPr>
          <w:noProof/>
        </w:rPr>
        <w:t>1</w:t>
      </w:r>
      <w:r w:rsidR="00772379">
        <w:fldChar w:fldCharType="end"/>
      </w:r>
      <w:bookmarkEnd w:id="57"/>
      <w:r w:rsidRPr="00B32849">
        <w:t>:</w:t>
      </w:r>
      <w:r w:rsidRPr="00B32849">
        <w:tab/>
        <w:t xml:space="preserve">Information on </w:t>
      </w:r>
      <w:r w:rsidRPr="009F679E">
        <w:t xml:space="preserve">054-01-05 / </w:t>
      </w:r>
      <w:proofErr w:type="spellStart"/>
      <w:r w:rsidRPr="009F679E">
        <w:t>Meso-Iodo</w:t>
      </w:r>
      <w:proofErr w:type="spellEnd"/>
      <w:r w:rsidRPr="009F679E">
        <w:t xml:space="preserve"> OD-Life</w:t>
      </w:r>
      <w:r w:rsidRPr="00B3284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4615"/>
        <w:gridCol w:w="4857"/>
      </w:tblGrid>
      <w:tr w:rsidR="00D1565D" w:rsidRPr="00B32849" w:rsidTr="00936FBA">
        <w:tc>
          <w:tcPr>
            <w:tcW w:w="2436" w:type="pct"/>
          </w:tcPr>
          <w:p w:rsidR="00D1565D" w:rsidRPr="00B32849" w:rsidRDefault="00D1565D" w:rsidP="00936FBA">
            <w:pPr>
              <w:pStyle w:val="RepTable"/>
            </w:pPr>
            <w:r w:rsidRPr="00B32849">
              <w:t>Product name and code</w:t>
            </w:r>
          </w:p>
        </w:tc>
        <w:tc>
          <w:tcPr>
            <w:tcW w:w="2564" w:type="pct"/>
          </w:tcPr>
          <w:p w:rsidR="00D1565D" w:rsidRPr="00B32849" w:rsidRDefault="00D1565D" w:rsidP="00936FBA">
            <w:pPr>
              <w:pStyle w:val="RepTable"/>
              <w:rPr>
                <w:highlight w:val="yellow"/>
              </w:rPr>
            </w:pPr>
            <w:r w:rsidRPr="009F679E">
              <w:t>054-01-05 / Meso-Iodo OD-Life</w:t>
            </w:r>
          </w:p>
        </w:tc>
      </w:tr>
      <w:tr w:rsidR="00D1565D" w:rsidRPr="005078C3" w:rsidTr="00936FBA">
        <w:tc>
          <w:tcPr>
            <w:tcW w:w="2436" w:type="pct"/>
          </w:tcPr>
          <w:p w:rsidR="00D1565D" w:rsidRPr="00B32849" w:rsidRDefault="00D1565D" w:rsidP="00936FBA">
            <w:pPr>
              <w:pStyle w:val="RepTable"/>
            </w:pPr>
            <w:r w:rsidRPr="00B32849">
              <w:t>Formulation type</w:t>
            </w:r>
          </w:p>
        </w:tc>
        <w:tc>
          <w:tcPr>
            <w:tcW w:w="2564" w:type="pct"/>
          </w:tcPr>
          <w:p w:rsidR="00D1565D" w:rsidRPr="004843F9" w:rsidRDefault="00D1565D" w:rsidP="00936FBA">
            <w:pPr>
              <w:pStyle w:val="RepTable"/>
              <w:rPr>
                <w:highlight w:val="yellow"/>
                <w:lang w:val="fr-FR"/>
              </w:rPr>
            </w:pPr>
            <w:r w:rsidRPr="009F679E">
              <w:rPr>
                <w:lang w:val="fr-FR"/>
              </w:rPr>
              <w:t>Oil dispersion [Code: OD]</w:t>
            </w:r>
          </w:p>
        </w:tc>
      </w:tr>
      <w:tr w:rsidR="00D1565D" w:rsidRPr="008206D4" w:rsidTr="00936FBA">
        <w:tc>
          <w:tcPr>
            <w:tcW w:w="2436" w:type="pct"/>
          </w:tcPr>
          <w:p w:rsidR="00D1565D" w:rsidRPr="00B32849" w:rsidRDefault="00D1565D" w:rsidP="00936FBA">
            <w:pPr>
              <w:pStyle w:val="RepTable"/>
            </w:pPr>
            <w:r w:rsidRPr="00B32849">
              <w:t>Active substance(s) (incl. content)</w:t>
            </w:r>
          </w:p>
        </w:tc>
        <w:tc>
          <w:tcPr>
            <w:tcW w:w="2564" w:type="pct"/>
          </w:tcPr>
          <w:p w:rsidR="00D1565D" w:rsidRDefault="00D1565D" w:rsidP="00936FBA">
            <w:pPr>
              <w:pStyle w:val="RepTable"/>
              <w:jc w:val="both"/>
            </w:pPr>
            <w:r>
              <w:t>Mesosulfuron-methyl, 10 g/L</w:t>
            </w:r>
          </w:p>
          <w:p w:rsidR="00D1565D" w:rsidRDefault="00D1565D" w:rsidP="00936FBA">
            <w:pPr>
              <w:pStyle w:val="RepTable"/>
              <w:jc w:val="both"/>
            </w:pPr>
            <w:r w:rsidRPr="003D2FBE">
              <w:rPr>
                <w:highlight w:val="lightGray"/>
              </w:rPr>
              <w:t>**</w:t>
            </w:r>
            <w:r>
              <w:t>Iodosulfuron-methyl-sodium, 2 g/L</w:t>
            </w:r>
          </w:p>
          <w:p w:rsidR="00D1565D" w:rsidRPr="000233A7" w:rsidRDefault="00D1565D" w:rsidP="00936FBA">
            <w:pPr>
              <w:pStyle w:val="RepTable"/>
              <w:jc w:val="both"/>
              <w:rPr>
                <w:highlight w:val="yellow"/>
                <w:lang w:val="de-DE"/>
              </w:rPr>
            </w:pPr>
            <w:r w:rsidRPr="000233A7">
              <w:rPr>
                <w:lang w:val="de-DE"/>
              </w:rPr>
              <w:t>Mefenpyr-diethyl (safener), 30 g/L</w:t>
            </w:r>
          </w:p>
        </w:tc>
      </w:tr>
      <w:tr w:rsidR="00D1565D" w:rsidRPr="00B32849" w:rsidTr="00936FBA">
        <w:tc>
          <w:tcPr>
            <w:tcW w:w="2436" w:type="pct"/>
          </w:tcPr>
          <w:p w:rsidR="00D1565D" w:rsidRPr="00B32849" w:rsidRDefault="00D1565D" w:rsidP="00936FBA">
            <w:pPr>
              <w:pStyle w:val="RepTable"/>
            </w:pPr>
            <w:r w:rsidRPr="00B32849">
              <w:t>Function</w:t>
            </w:r>
          </w:p>
        </w:tc>
        <w:tc>
          <w:tcPr>
            <w:tcW w:w="2564" w:type="pct"/>
          </w:tcPr>
          <w:p w:rsidR="00D1565D" w:rsidRPr="00B32849" w:rsidRDefault="00D1565D" w:rsidP="00936FBA">
            <w:pPr>
              <w:pStyle w:val="RepTable"/>
              <w:rPr>
                <w:highlight w:val="yellow"/>
              </w:rPr>
            </w:pPr>
            <w:r w:rsidRPr="00E620BC">
              <w:t>Herbicide</w:t>
            </w:r>
          </w:p>
        </w:tc>
      </w:tr>
      <w:tr w:rsidR="00D1565D" w:rsidRPr="00B32849" w:rsidTr="00936FBA">
        <w:tc>
          <w:tcPr>
            <w:tcW w:w="2436" w:type="pct"/>
          </w:tcPr>
          <w:p w:rsidR="00D1565D" w:rsidRPr="00E620BC" w:rsidRDefault="00D1565D" w:rsidP="00936FBA">
            <w:pPr>
              <w:pStyle w:val="RepTable"/>
            </w:pPr>
            <w:r w:rsidRPr="00E620BC">
              <w:t>Product already evaluated as the ‘representative formulation’ during the approval of the active substance(s)</w:t>
            </w:r>
          </w:p>
        </w:tc>
        <w:tc>
          <w:tcPr>
            <w:tcW w:w="2564" w:type="pct"/>
          </w:tcPr>
          <w:p w:rsidR="00D1565D" w:rsidRPr="00E620BC" w:rsidRDefault="00D1565D" w:rsidP="00936FBA">
            <w:pPr>
              <w:pStyle w:val="RepTable"/>
            </w:pPr>
            <w:r w:rsidRPr="00E620BC">
              <w:t>No</w:t>
            </w:r>
          </w:p>
        </w:tc>
      </w:tr>
      <w:tr w:rsidR="00D1565D" w:rsidRPr="00B32849" w:rsidTr="00936FBA">
        <w:tc>
          <w:tcPr>
            <w:tcW w:w="2436" w:type="pct"/>
          </w:tcPr>
          <w:p w:rsidR="00D1565D" w:rsidRPr="00B27D39" w:rsidRDefault="00D1565D" w:rsidP="00936FBA">
            <w:pPr>
              <w:pStyle w:val="RepTable"/>
            </w:pPr>
            <w:r w:rsidRPr="00B27D39">
              <w:t>Product previously evaluated in another MS according to Uniform Principles</w:t>
            </w:r>
          </w:p>
        </w:tc>
        <w:tc>
          <w:tcPr>
            <w:tcW w:w="2564" w:type="pct"/>
          </w:tcPr>
          <w:p w:rsidR="00D1565D" w:rsidRPr="00B27D39" w:rsidRDefault="00D1565D" w:rsidP="00936FBA">
            <w:pPr>
              <w:pStyle w:val="RepTable"/>
            </w:pPr>
            <w:r w:rsidRPr="00B27D39">
              <w:t>No</w:t>
            </w:r>
          </w:p>
        </w:tc>
      </w:tr>
    </w:tbl>
    <w:p w:rsidR="00D1565D" w:rsidRPr="00B32849" w:rsidRDefault="00D1565D" w:rsidP="00D1565D">
      <w:pPr>
        <w:pStyle w:val="RepTableFootnote"/>
        <w:rPr>
          <w:lang w:val="en-GB"/>
        </w:rPr>
      </w:pPr>
      <w:r w:rsidRPr="00B32849">
        <w:rPr>
          <w:lang w:val="en-GB"/>
        </w:rPr>
        <w:t xml:space="preserve">*Information on the detailed composition of </w:t>
      </w:r>
      <w:r w:rsidRPr="00E620BC">
        <w:rPr>
          <w:lang w:val="en-GB"/>
        </w:rPr>
        <w:t>054-01-05 / Meso-Iodo OD-Life</w:t>
      </w:r>
      <w:r w:rsidRPr="00B32849">
        <w:rPr>
          <w:lang w:val="en-GB"/>
        </w:rPr>
        <w:t xml:space="preserve"> can be found in the confidential dRR Part C.</w:t>
      </w:r>
    </w:p>
    <w:p w:rsidR="00D1565D" w:rsidRPr="00A33157" w:rsidRDefault="00D1565D" w:rsidP="00D1565D">
      <w:pPr>
        <w:pStyle w:val="RepSubtitle"/>
        <w:jc w:val="left"/>
        <w:rPr>
          <w:sz w:val="18"/>
          <w:szCs w:val="18"/>
        </w:rPr>
      </w:pPr>
      <w:r w:rsidRPr="003D2FBE">
        <w:rPr>
          <w:sz w:val="18"/>
          <w:szCs w:val="18"/>
          <w:highlight w:val="lightGray"/>
        </w:rPr>
        <w:t>** Harmonised classification according to Regulation (EC) No 1272/2008  and its Adaptations to Technical Process [Table 3.1 of Annex VI of Regulation (EC) No1272/2008 as amended. No classification for toxicology in current harmonised</w:t>
      </w:r>
      <w:r w:rsidRPr="00A33157">
        <w:rPr>
          <w:sz w:val="18"/>
          <w:szCs w:val="18"/>
        </w:rPr>
        <w:t xml:space="preserve"> </w:t>
      </w:r>
    </w:p>
    <w:p w:rsidR="00C81348" w:rsidRPr="00B32849" w:rsidRDefault="00C81348" w:rsidP="00C81348">
      <w:pPr>
        <w:rPr>
          <w:lang w:val="en-GB"/>
        </w:rPr>
      </w:pPr>
    </w:p>
    <w:p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rsidR="00C81348" w:rsidRPr="00B32849" w:rsidRDefault="00C81348" w:rsidP="00C81348">
      <w:pPr>
        <w:pStyle w:val="RepStandard"/>
      </w:pPr>
    </w:p>
    <w:p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w:t>
      </w:r>
      <w:proofErr w:type="spellStart"/>
      <w:r w:rsidRPr="00B32849">
        <w:t>preparation:</w:t>
      </w:r>
      <w:r w:rsidR="00FF3C47">
        <w:t>c</w:t>
      </w:r>
      <w:proofErr w:type="spellEnd"/>
    </w:p>
    <w:p w:rsidR="00C81348" w:rsidRPr="00B32849" w:rsidRDefault="00C81348" w:rsidP="00C81348">
      <w:pPr>
        <w:pStyle w:val="RepLabel"/>
        <w:spacing w:before="240"/>
      </w:pPr>
      <w:r w:rsidRPr="00B32849">
        <w:lastRenderedPageBreak/>
        <w:t>Table </w:t>
      </w:r>
      <w:r w:rsidR="00772379">
        <w:fldChar w:fldCharType="begin"/>
      </w:r>
      <w:r w:rsidR="001F20EF">
        <w:instrText xml:space="preserve"> STYLEREF 2 \s </w:instrText>
      </w:r>
      <w:r w:rsidR="00772379">
        <w:fldChar w:fldCharType="separate"/>
      </w:r>
      <w:r w:rsidR="001420C4">
        <w:rPr>
          <w:noProof/>
        </w:rPr>
        <w:t>6.1</w:t>
      </w:r>
      <w:r w:rsidR="00772379">
        <w:fldChar w:fldCharType="end"/>
      </w:r>
      <w:r w:rsidR="001F20EF">
        <w:noBreakHyphen/>
      </w:r>
      <w:r w:rsidR="00772379">
        <w:fldChar w:fldCharType="begin"/>
      </w:r>
      <w:r w:rsidR="001F20EF">
        <w:instrText xml:space="preserve"> SEQ Table \* ARABIC \s 2 </w:instrText>
      </w:r>
      <w:r w:rsidR="00772379">
        <w:fldChar w:fldCharType="separate"/>
      </w:r>
      <w:r w:rsidR="001420C4">
        <w:rPr>
          <w:noProof/>
        </w:rPr>
        <w:t>2</w:t>
      </w:r>
      <w:r w:rsidR="00772379">
        <w:fldChar w:fldCharType="end"/>
      </w:r>
      <w:r w:rsidRPr="00B32849">
        <w:t>:</w:t>
      </w:r>
      <w:r w:rsidRPr="00B32849">
        <w:tab/>
        <w:t xml:space="preserve">Justified proposals for classification and labelling for </w:t>
      </w:r>
      <w:r w:rsidR="00E620BC" w:rsidRPr="00E620BC">
        <w:t xml:space="preserve">054-01-05 / </w:t>
      </w:r>
      <w:proofErr w:type="spellStart"/>
      <w:r w:rsidR="00E620BC" w:rsidRPr="00E620BC">
        <w:t>Meso-Iodo</w:t>
      </w:r>
      <w:proofErr w:type="spellEnd"/>
      <w:r w:rsidR="00E620BC" w:rsidRPr="00E620BC">
        <w:t xml:space="preserve"> OD-Life </w:t>
      </w:r>
      <w:r w:rsidR="00B766E8" w:rsidRPr="00B32849">
        <w:t>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2850"/>
        <w:gridCol w:w="6622"/>
      </w:tblGrid>
      <w:tr w:rsidR="00C81348" w:rsidRPr="00B32849" w:rsidTr="000A6076">
        <w:tc>
          <w:tcPr>
            <w:tcW w:w="2850" w:type="dxa"/>
          </w:tcPr>
          <w:p w:rsidR="00C81348" w:rsidRPr="00B32849" w:rsidRDefault="009F554F" w:rsidP="00A241B7">
            <w:pPr>
              <w:pStyle w:val="RepTable"/>
              <w:keepNext/>
            </w:pPr>
            <w:r>
              <w:t>Hazard class(es), categories</w:t>
            </w:r>
          </w:p>
        </w:tc>
        <w:tc>
          <w:tcPr>
            <w:tcW w:w="6622" w:type="dxa"/>
          </w:tcPr>
          <w:p w:rsidR="00C81348" w:rsidRPr="00B32849" w:rsidRDefault="004E2BBB" w:rsidP="00A241B7">
            <w:pPr>
              <w:pStyle w:val="RepTable"/>
              <w:keepNext/>
              <w:tabs>
                <w:tab w:val="left" w:pos="720"/>
              </w:tabs>
              <w:rPr>
                <w:highlight w:val="yellow"/>
              </w:rPr>
            </w:pPr>
            <w:r w:rsidRPr="004E2BBB">
              <w:t>Eye Irrit 2., Aquatic chronic 1.</w:t>
            </w:r>
          </w:p>
        </w:tc>
      </w:tr>
      <w:tr w:rsidR="00C81348" w:rsidRPr="00B32849" w:rsidTr="000A6076">
        <w:tc>
          <w:tcPr>
            <w:tcW w:w="2850" w:type="dxa"/>
          </w:tcPr>
          <w:p w:rsidR="00C81348" w:rsidRPr="00977C41" w:rsidRDefault="00C81348" w:rsidP="00A241B7">
            <w:pPr>
              <w:pStyle w:val="RepTable"/>
              <w:keepNext/>
            </w:pPr>
            <w:r w:rsidRPr="00977C41">
              <w:t xml:space="preserve">Hazard pictograms or </w:t>
            </w:r>
            <w:r w:rsidR="009F554F" w:rsidRPr="00977C41">
              <w:t>Code(s) for hazard pictogram(s)</w:t>
            </w:r>
          </w:p>
        </w:tc>
        <w:tc>
          <w:tcPr>
            <w:tcW w:w="6622" w:type="dxa"/>
          </w:tcPr>
          <w:p w:rsidR="00977C41" w:rsidRPr="00977C41" w:rsidRDefault="007971F6" w:rsidP="00A241B7">
            <w:pPr>
              <w:pStyle w:val="RepTable"/>
              <w:keepNext/>
              <w:tabs>
                <w:tab w:val="left" w:pos="720"/>
              </w:tabs>
            </w:pPr>
            <w:r w:rsidRPr="00977C41">
              <w:t>GHS07</w:t>
            </w:r>
            <w:r w:rsidR="00977C41" w:rsidRPr="00977C41">
              <w:t xml:space="preserve">                 GHS09</w:t>
            </w:r>
          </w:p>
          <w:p w:rsidR="00C81348" w:rsidRPr="00977C41" w:rsidRDefault="00977C41" w:rsidP="00A241B7">
            <w:pPr>
              <w:pStyle w:val="RepTable"/>
              <w:keepNext/>
              <w:tabs>
                <w:tab w:val="left" w:pos="720"/>
              </w:tabs>
            </w:pPr>
            <w:r w:rsidRPr="00977C41">
              <w:rPr>
                <w:lang w:val="pl-PL" w:eastAsia="pl-PL"/>
              </w:rPr>
              <w:drawing>
                <wp:inline distT="0" distB="0" distL="0" distR="0">
                  <wp:extent cx="1057275" cy="1095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r w:rsidRPr="00977C41">
              <w:rPr>
                <w:lang w:val="pl-PL" w:eastAsia="pl-PL"/>
              </w:rPr>
              <w:drawing>
                <wp:inline distT="0" distB="0" distL="0" distR="0">
                  <wp:extent cx="1057275" cy="109537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1095375"/>
                          </a:xfrm>
                          <a:prstGeom prst="rect">
                            <a:avLst/>
                          </a:prstGeom>
                          <a:noFill/>
                          <a:ln>
                            <a:noFill/>
                          </a:ln>
                        </pic:spPr>
                      </pic:pic>
                    </a:graphicData>
                  </a:graphic>
                </wp:inline>
              </w:drawing>
            </w:r>
          </w:p>
        </w:tc>
      </w:tr>
      <w:tr w:rsidR="00C81348" w:rsidRPr="00B32849" w:rsidTr="000A6076">
        <w:tc>
          <w:tcPr>
            <w:tcW w:w="2850" w:type="dxa"/>
          </w:tcPr>
          <w:p w:rsidR="00C81348" w:rsidRPr="00B32849" w:rsidRDefault="009F554F" w:rsidP="00A241B7">
            <w:pPr>
              <w:pStyle w:val="RepTable"/>
              <w:keepNext/>
            </w:pPr>
            <w:r>
              <w:t>Signal word</w:t>
            </w:r>
          </w:p>
        </w:tc>
        <w:tc>
          <w:tcPr>
            <w:tcW w:w="6622" w:type="dxa"/>
          </w:tcPr>
          <w:p w:rsidR="00C81348" w:rsidRPr="00B32849" w:rsidRDefault="00977C41" w:rsidP="007971F6">
            <w:pPr>
              <w:pStyle w:val="RepTable"/>
              <w:keepNext/>
              <w:tabs>
                <w:tab w:val="left" w:pos="720"/>
              </w:tabs>
              <w:rPr>
                <w:highlight w:val="yellow"/>
              </w:rPr>
            </w:pPr>
            <w:r>
              <w:t>Warning</w:t>
            </w:r>
          </w:p>
        </w:tc>
      </w:tr>
      <w:tr w:rsidR="00C81348" w:rsidRPr="00B32849" w:rsidTr="000A6076">
        <w:tc>
          <w:tcPr>
            <w:tcW w:w="2850" w:type="dxa"/>
          </w:tcPr>
          <w:p w:rsidR="00C81348" w:rsidRPr="00B32849" w:rsidRDefault="009F554F" w:rsidP="00A241B7">
            <w:pPr>
              <w:pStyle w:val="RepTable"/>
              <w:keepNext/>
            </w:pPr>
            <w:r>
              <w:t>Hazard statement(s)</w:t>
            </w:r>
          </w:p>
        </w:tc>
        <w:tc>
          <w:tcPr>
            <w:tcW w:w="6622" w:type="dxa"/>
          </w:tcPr>
          <w:p w:rsidR="00977C41" w:rsidRDefault="00977C41" w:rsidP="00977C41">
            <w:pPr>
              <w:pStyle w:val="Default"/>
              <w:rPr>
                <w:sz w:val="20"/>
                <w:szCs w:val="20"/>
              </w:rPr>
            </w:pPr>
            <w:r>
              <w:rPr>
                <w:sz w:val="20"/>
                <w:szCs w:val="20"/>
              </w:rPr>
              <w:t xml:space="preserve">H319 – Causes serious eye irritation </w:t>
            </w:r>
          </w:p>
          <w:p w:rsidR="00C81348" w:rsidRPr="00B32849" w:rsidRDefault="00977C41" w:rsidP="00977C41">
            <w:pPr>
              <w:pStyle w:val="RepTable"/>
              <w:keepNext/>
              <w:tabs>
                <w:tab w:val="left" w:pos="720"/>
              </w:tabs>
              <w:rPr>
                <w:highlight w:val="yellow"/>
              </w:rPr>
            </w:pPr>
            <w:r>
              <w:rPr>
                <w:szCs w:val="20"/>
              </w:rPr>
              <w:t xml:space="preserve">H410 - Very toxic to aquatic life with long lasting effects. </w:t>
            </w:r>
          </w:p>
        </w:tc>
      </w:tr>
      <w:tr w:rsidR="00C81348" w:rsidRPr="00B32849" w:rsidTr="000A6076">
        <w:tc>
          <w:tcPr>
            <w:tcW w:w="2850" w:type="dxa"/>
          </w:tcPr>
          <w:p w:rsidR="00C81348" w:rsidRPr="00B32849" w:rsidRDefault="009F554F" w:rsidP="00A241B7">
            <w:pPr>
              <w:pStyle w:val="RepTable"/>
              <w:keepNext/>
            </w:pPr>
            <w:r>
              <w:t>Precautionary statement(s)</w:t>
            </w:r>
          </w:p>
        </w:tc>
        <w:tc>
          <w:tcPr>
            <w:tcW w:w="6622" w:type="dxa"/>
          </w:tcPr>
          <w:p w:rsidR="00C81348" w:rsidRPr="00FA5716" w:rsidRDefault="002A468D" w:rsidP="007971F6">
            <w:pPr>
              <w:pStyle w:val="RepTable"/>
              <w:keepNext/>
              <w:tabs>
                <w:tab w:val="left" w:pos="720"/>
              </w:tabs>
            </w:pPr>
            <w:r w:rsidRPr="00FA5716">
              <w:t>P264, P280, P305 + P351 + P338, P337 + P313, P391</w:t>
            </w:r>
          </w:p>
        </w:tc>
      </w:tr>
      <w:tr w:rsidR="00C81348" w:rsidRPr="00B32849" w:rsidTr="000A6076">
        <w:tc>
          <w:tcPr>
            <w:tcW w:w="2850" w:type="dxa"/>
          </w:tcPr>
          <w:p w:rsidR="00C81348" w:rsidRPr="00B32849" w:rsidRDefault="009F554F" w:rsidP="00A241B7">
            <w:pPr>
              <w:pStyle w:val="RepTable"/>
              <w:keepNext/>
            </w:pPr>
            <w:r>
              <w:t>Additional labelling phrases</w:t>
            </w:r>
          </w:p>
        </w:tc>
        <w:tc>
          <w:tcPr>
            <w:tcW w:w="6622" w:type="dxa"/>
          </w:tcPr>
          <w:p w:rsidR="00C81348" w:rsidRPr="00B32849" w:rsidRDefault="00C81348" w:rsidP="00A241B7">
            <w:pPr>
              <w:pStyle w:val="RepTable"/>
              <w:keepNext/>
            </w:pPr>
            <w:r w:rsidRPr="00B32849">
              <w:t>To avoid risks to man and the environment, comply with the instructions for use. [EUH401]</w:t>
            </w:r>
          </w:p>
        </w:tc>
      </w:tr>
      <w:tr w:rsidR="00C81348" w:rsidRPr="00B32849" w:rsidTr="000A6076">
        <w:tc>
          <w:tcPr>
            <w:tcW w:w="2850" w:type="dxa"/>
          </w:tcPr>
          <w:p w:rsidR="00C81348" w:rsidRPr="00B32849" w:rsidRDefault="00C81348" w:rsidP="00A241B7">
            <w:pPr>
              <w:pStyle w:val="RepTable"/>
              <w:keepNext/>
              <w:rPr>
                <w:noProof w:val="0"/>
              </w:rPr>
            </w:pPr>
          </w:p>
        </w:tc>
        <w:tc>
          <w:tcPr>
            <w:tcW w:w="6622" w:type="dxa"/>
          </w:tcPr>
          <w:p w:rsidR="00977C41" w:rsidRDefault="00977C41" w:rsidP="00977C41">
            <w:pPr>
              <w:pStyle w:val="RepTable"/>
              <w:keepNext/>
            </w:pPr>
            <w:r>
              <w:t>Contains fatty alchol ethoxylate alkyl ether. May produce an allergic</w:t>
            </w:r>
          </w:p>
          <w:p w:rsidR="00C6530B" w:rsidRDefault="00977C41" w:rsidP="00977C41">
            <w:pPr>
              <w:pStyle w:val="RepTable"/>
              <w:keepNext/>
            </w:pPr>
            <w:r>
              <w:t>reaction.</w:t>
            </w:r>
            <w:r w:rsidR="008B3519">
              <w:t xml:space="preserve"> [EUH208]</w:t>
            </w:r>
          </w:p>
          <w:p w:rsidR="00C6530B" w:rsidRPr="00B32849" w:rsidRDefault="00C6530B" w:rsidP="00977C41">
            <w:pPr>
              <w:pStyle w:val="RepTable"/>
              <w:keepNext/>
              <w:rPr>
                <w:highlight w:val="yellow"/>
              </w:rPr>
            </w:pPr>
            <w:r>
              <w:rPr>
                <w:b/>
                <w:szCs w:val="20"/>
              </w:rPr>
              <w:t>[</w:t>
            </w:r>
            <w:r w:rsidRPr="00A36EB4">
              <w:rPr>
                <w:b/>
                <w:szCs w:val="20"/>
                <w:highlight w:val="magenta"/>
              </w:rPr>
              <w:t xml:space="preserve">EUH066] </w:t>
            </w:r>
            <w:r w:rsidRPr="00D44E4E">
              <w:rPr>
                <w:b/>
                <w:szCs w:val="20"/>
                <w:highlight w:val="magenta"/>
                <w:lang w:val="en-CA"/>
              </w:rPr>
              <w:t>Repeated exposure may cause skin dryness or cracking.</w:t>
            </w:r>
          </w:p>
        </w:tc>
      </w:tr>
    </w:tbl>
    <w:p w:rsidR="007D14A4" w:rsidRDefault="007D14A4" w:rsidP="007D14A4">
      <w:bookmarkStart w:id="58" w:name="_Toc328552146"/>
      <w:bookmarkStart w:id="59" w:name="_Toc332020589"/>
      <w:bookmarkStart w:id="60" w:name="_Toc332203432"/>
      <w:bookmarkStart w:id="61" w:name="_Toc332206984"/>
      <w:bookmarkStart w:id="62" w:name="_Toc332296156"/>
      <w:bookmarkStart w:id="63" w:name="_Toc336434723"/>
      <w:bookmarkStart w:id="64" w:name="_Toc397516874"/>
      <w:bookmarkStart w:id="65" w:name="_Toc398627854"/>
      <w:bookmarkStart w:id="66" w:name="_Toc399335709"/>
      <w:bookmarkStart w:id="67" w:name="_Toc399764849"/>
      <w:bookmarkStart w:id="68" w:name="_Toc412562641"/>
      <w:bookmarkStart w:id="69" w:name="_Toc412562718"/>
      <w:bookmarkStart w:id="70" w:name="_Toc413662710"/>
      <w:bookmarkStart w:id="71" w:name="_Toc413673567"/>
      <w:bookmarkStart w:id="72" w:name="_Toc413673665"/>
      <w:bookmarkStart w:id="73" w:name="_Toc413673736"/>
      <w:bookmarkStart w:id="74" w:name="_Toc413928635"/>
      <w:bookmarkStart w:id="75" w:name="_Toc413936249"/>
      <w:bookmarkStart w:id="76" w:name="_Toc413937960"/>
      <w:bookmarkStart w:id="77" w:name="_Toc414026687"/>
      <w:bookmarkStart w:id="78" w:name="_Toc414974066"/>
      <w:bookmarkStart w:id="79" w:name="_Toc450900940"/>
      <w:bookmarkStart w:id="80" w:name="_Toc450920606"/>
      <w:bookmarkStart w:id="81" w:name="_Toc450923727"/>
      <w:bookmarkStart w:id="82" w:name="_Toc454460960"/>
      <w:bookmarkStart w:id="83" w:name="_Toc454462796"/>
    </w:p>
    <w:p w:rsidR="00457A66" w:rsidRDefault="00457A66">
      <w:pPr>
        <w:rPr>
          <w:b/>
          <w:color w:val="000000"/>
          <w:kern w:val="2"/>
          <w:lang w:val="en-IE" w:eastAsia="en-IE"/>
        </w:rPr>
      </w:pPr>
      <w:r>
        <w:rPr>
          <w:b/>
          <w:color w:val="000000"/>
          <w:kern w:val="2"/>
          <w:lang w:val="en-IE" w:eastAsia="en-IE"/>
        </w:rPr>
        <w:br w:type="page"/>
      </w:r>
    </w:p>
    <w:p w:rsidR="007D14A4" w:rsidRPr="007D14A4" w:rsidRDefault="007D14A4" w:rsidP="00457A66">
      <w:pPr>
        <w:keepNext/>
        <w:keepLines/>
        <w:spacing w:after="240" w:line="248" w:lineRule="auto"/>
        <w:ind w:left="1977" w:hanging="1985"/>
        <w:jc w:val="both"/>
        <w:outlineLvl w:val="6"/>
        <w:rPr>
          <w:b/>
          <w:color w:val="000000"/>
          <w:kern w:val="2"/>
          <w:lang w:val="en-IE" w:eastAsia="en-IE"/>
        </w:rPr>
      </w:pPr>
      <w:r w:rsidRPr="007D14A4">
        <w:rPr>
          <w:b/>
          <w:color w:val="000000"/>
          <w:kern w:val="2"/>
          <w:lang w:val="en-IE" w:eastAsia="en-IE"/>
        </w:rPr>
        <w:lastRenderedPageBreak/>
        <w:t xml:space="preserve">Table 6.1-3: </w:t>
      </w:r>
      <w:r w:rsidRPr="007D14A4">
        <w:rPr>
          <w:b/>
          <w:color w:val="000000"/>
          <w:kern w:val="2"/>
          <w:lang w:val="en-IE" w:eastAsia="en-IE"/>
        </w:rPr>
        <w:tab/>
        <w:t xml:space="preserve">Summary of risk assessment for operators, workers, bystanders and residents for IMS+MSM+MPR OD 42 (2+10+30) </w:t>
      </w:r>
    </w:p>
    <w:tbl>
      <w:tblPr>
        <w:tblStyle w:val="TableGrid"/>
        <w:tblW w:w="9475" w:type="dxa"/>
        <w:tblInd w:w="-58" w:type="dxa"/>
        <w:tblCellMar>
          <w:top w:w="65" w:type="dxa"/>
          <w:left w:w="58" w:type="dxa"/>
          <w:right w:w="28" w:type="dxa"/>
        </w:tblCellMar>
        <w:tblLook w:val="04A0"/>
      </w:tblPr>
      <w:tblGrid>
        <w:gridCol w:w="1704"/>
        <w:gridCol w:w="1820"/>
        <w:gridCol w:w="5951"/>
      </w:tblGrid>
      <w:tr w:rsidR="007D14A4" w:rsidRPr="007D14A4" w:rsidTr="001D131F">
        <w:trPr>
          <w:trHeight w:val="353"/>
        </w:trPr>
        <w:tc>
          <w:tcPr>
            <w:tcW w:w="1704" w:type="dxa"/>
            <w:tcBorders>
              <w:top w:val="single" w:sz="4" w:space="0" w:color="000000"/>
              <w:left w:val="single" w:sz="4" w:space="0" w:color="000000"/>
              <w:bottom w:val="single" w:sz="4" w:space="0" w:color="000000"/>
              <w:right w:val="single" w:sz="4" w:space="0" w:color="000000"/>
            </w:tcBorders>
          </w:tcPr>
          <w:p w:rsidR="007D14A4" w:rsidRPr="007D14A4" w:rsidRDefault="007D14A4" w:rsidP="007D14A4">
            <w:pPr>
              <w:ind w:left="20"/>
              <w:jc w:val="center"/>
              <w:rPr>
                <w:rFonts w:eastAsia="Calibri" w:cs="Calibri"/>
                <w:color w:val="000000"/>
                <w:lang w:val="en-IE"/>
              </w:rPr>
            </w:pPr>
            <w:r w:rsidRPr="007D14A4">
              <w:rPr>
                <w:b/>
                <w:color w:val="000000"/>
                <w:sz w:val="20"/>
                <w:lang w:val="en-IE"/>
              </w:rPr>
              <w:t xml:space="preserve"> </w:t>
            </w:r>
          </w:p>
        </w:tc>
        <w:tc>
          <w:tcPr>
            <w:tcW w:w="1820" w:type="dxa"/>
            <w:tcBorders>
              <w:top w:val="single" w:sz="4" w:space="0" w:color="000000"/>
              <w:left w:val="single" w:sz="4" w:space="0" w:color="000000"/>
              <w:bottom w:val="single" w:sz="4" w:space="0" w:color="000000"/>
              <w:right w:val="single" w:sz="4" w:space="0" w:color="000000"/>
            </w:tcBorders>
          </w:tcPr>
          <w:p w:rsidR="007D14A4" w:rsidRPr="00457A66" w:rsidRDefault="007D14A4" w:rsidP="007D14A4">
            <w:pPr>
              <w:ind w:right="35"/>
              <w:jc w:val="center"/>
              <w:rPr>
                <w:rFonts w:ascii="Times New Roman" w:eastAsia="Calibri" w:hAnsi="Times New Roman"/>
                <w:color w:val="000000"/>
                <w:lang w:val="en-IE"/>
              </w:rPr>
            </w:pPr>
            <w:r w:rsidRPr="00457A66">
              <w:rPr>
                <w:rFonts w:ascii="Times New Roman" w:hAnsi="Times New Roman"/>
                <w:b/>
                <w:color w:val="000000"/>
                <w:sz w:val="20"/>
                <w:lang w:val="en-IE"/>
              </w:rPr>
              <w:t xml:space="preserve">Result </w:t>
            </w:r>
          </w:p>
        </w:tc>
        <w:tc>
          <w:tcPr>
            <w:tcW w:w="5951" w:type="dxa"/>
            <w:tcBorders>
              <w:top w:val="single" w:sz="4" w:space="0" w:color="000000"/>
              <w:left w:val="single" w:sz="4" w:space="0" w:color="000000"/>
              <w:bottom w:val="single" w:sz="4" w:space="0" w:color="000000"/>
              <w:right w:val="single" w:sz="4" w:space="0" w:color="000000"/>
            </w:tcBorders>
          </w:tcPr>
          <w:p w:rsidR="007D14A4" w:rsidRPr="00457A66" w:rsidRDefault="007D14A4" w:rsidP="007D14A4">
            <w:pPr>
              <w:ind w:right="33"/>
              <w:jc w:val="center"/>
              <w:rPr>
                <w:rFonts w:ascii="Times New Roman" w:eastAsia="Calibri" w:hAnsi="Times New Roman"/>
                <w:color w:val="000000"/>
                <w:lang w:val="en-IE"/>
              </w:rPr>
            </w:pPr>
            <w:r w:rsidRPr="00457A66">
              <w:rPr>
                <w:rFonts w:ascii="Times New Roman" w:hAnsi="Times New Roman"/>
                <w:b/>
                <w:color w:val="000000"/>
                <w:sz w:val="20"/>
                <w:lang w:val="en-IE"/>
              </w:rPr>
              <w:t xml:space="preserve">PPE / Risk mitigation measures </w:t>
            </w:r>
          </w:p>
        </w:tc>
      </w:tr>
      <w:tr w:rsidR="007D14A4" w:rsidRPr="007D14A4" w:rsidTr="001D131F">
        <w:trPr>
          <w:trHeight w:val="586"/>
        </w:trPr>
        <w:tc>
          <w:tcPr>
            <w:tcW w:w="1704" w:type="dxa"/>
            <w:tcBorders>
              <w:top w:val="single" w:sz="4" w:space="0" w:color="000000"/>
              <w:left w:val="single" w:sz="4" w:space="0" w:color="000000"/>
              <w:bottom w:val="single" w:sz="4" w:space="0" w:color="000000"/>
              <w:right w:val="single" w:sz="4" w:space="0" w:color="000000"/>
            </w:tcBorders>
          </w:tcPr>
          <w:p w:rsidR="007D14A4" w:rsidRPr="004E72A5" w:rsidRDefault="007D14A4" w:rsidP="007D14A4">
            <w:pPr>
              <w:rPr>
                <w:rFonts w:ascii="Times New Roman" w:hAnsi="Times New Roman"/>
                <w:noProof/>
                <w:kern w:val="0"/>
                <w:sz w:val="20"/>
                <w:lang w:val="en-GB" w:eastAsia="de-DE"/>
              </w:rPr>
            </w:pPr>
            <w:r w:rsidRPr="004E72A5">
              <w:rPr>
                <w:rFonts w:ascii="Times New Roman" w:hAnsi="Times New Roman"/>
                <w:noProof/>
                <w:kern w:val="0"/>
                <w:sz w:val="20"/>
                <w:lang w:val="en-GB" w:eastAsia="de-DE"/>
              </w:rPr>
              <w:t xml:space="preserve">Operators </w:t>
            </w:r>
          </w:p>
        </w:tc>
        <w:tc>
          <w:tcPr>
            <w:tcW w:w="1820" w:type="dxa"/>
            <w:tcBorders>
              <w:top w:val="single" w:sz="4" w:space="0" w:color="000000"/>
              <w:left w:val="single" w:sz="4" w:space="0" w:color="000000"/>
              <w:bottom w:val="single" w:sz="4" w:space="0" w:color="000000"/>
              <w:right w:val="single" w:sz="4" w:space="0" w:color="000000"/>
            </w:tcBorders>
          </w:tcPr>
          <w:p w:rsidR="007D14A4" w:rsidRPr="004E72A5" w:rsidRDefault="007D14A4" w:rsidP="007D14A4">
            <w:pPr>
              <w:ind w:right="36"/>
              <w:jc w:val="center"/>
              <w:rPr>
                <w:rFonts w:ascii="Times New Roman" w:hAnsi="Times New Roman"/>
                <w:noProof/>
                <w:kern w:val="0"/>
                <w:sz w:val="20"/>
                <w:lang w:val="en-GB" w:eastAsia="de-DE"/>
              </w:rPr>
            </w:pPr>
            <w:r w:rsidRPr="004E72A5">
              <w:rPr>
                <w:rFonts w:ascii="Times New Roman" w:hAnsi="Times New Roman"/>
                <w:noProof/>
                <w:kern w:val="0"/>
                <w:sz w:val="20"/>
                <w:lang w:val="en-GB" w:eastAsia="de-DE"/>
              </w:rPr>
              <w:t xml:space="preserve">Acceptable </w:t>
            </w:r>
          </w:p>
        </w:tc>
        <w:tc>
          <w:tcPr>
            <w:tcW w:w="5951" w:type="dxa"/>
            <w:tcBorders>
              <w:top w:val="single" w:sz="4" w:space="0" w:color="000000"/>
              <w:left w:val="single" w:sz="4" w:space="0" w:color="000000"/>
              <w:bottom w:val="single" w:sz="4" w:space="0" w:color="000000"/>
              <w:right w:val="single" w:sz="4" w:space="0" w:color="000000"/>
            </w:tcBorders>
          </w:tcPr>
          <w:p w:rsidR="007D14A4" w:rsidRPr="004E72A5" w:rsidRDefault="007D14A4" w:rsidP="007D14A4">
            <w:pPr>
              <w:jc w:val="both"/>
              <w:rPr>
                <w:rFonts w:ascii="Times New Roman" w:hAnsi="Times New Roman"/>
                <w:noProof/>
                <w:kern w:val="0"/>
                <w:sz w:val="20"/>
                <w:lang w:val="en-GB" w:eastAsia="de-DE"/>
              </w:rPr>
            </w:pPr>
            <w:r w:rsidRPr="004E72A5">
              <w:rPr>
                <w:rFonts w:ascii="Times New Roman" w:hAnsi="Times New Roman"/>
                <w:noProof/>
                <w:kern w:val="0"/>
                <w:sz w:val="20"/>
                <w:lang w:val="en-GB" w:eastAsia="de-DE"/>
              </w:rPr>
              <w:t xml:space="preserve">Gloves during mixing/loading and when handling contaminated surfaces during application </w:t>
            </w:r>
          </w:p>
        </w:tc>
      </w:tr>
      <w:tr w:rsidR="007D14A4" w:rsidRPr="007D14A4" w:rsidTr="001D131F">
        <w:trPr>
          <w:trHeight w:val="353"/>
        </w:trPr>
        <w:tc>
          <w:tcPr>
            <w:tcW w:w="1704"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Workers </w:t>
            </w:r>
          </w:p>
        </w:tc>
        <w:tc>
          <w:tcPr>
            <w:tcW w:w="1820"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ind w:right="36"/>
              <w:jc w:val="cente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Acceptable </w:t>
            </w:r>
          </w:p>
        </w:tc>
        <w:tc>
          <w:tcPr>
            <w:tcW w:w="5951"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None </w:t>
            </w:r>
          </w:p>
        </w:tc>
      </w:tr>
      <w:tr w:rsidR="007D14A4" w:rsidRPr="007D14A4" w:rsidTr="001D131F">
        <w:trPr>
          <w:trHeight w:val="355"/>
        </w:trPr>
        <w:tc>
          <w:tcPr>
            <w:tcW w:w="1704"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Bystanders </w:t>
            </w:r>
          </w:p>
        </w:tc>
        <w:tc>
          <w:tcPr>
            <w:tcW w:w="1820"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ind w:right="36"/>
              <w:jc w:val="cente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Acceptable </w:t>
            </w:r>
          </w:p>
        </w:tc>
        <w:tc>
          <w:tcPr>
            <w:tcW w:w="5951"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None </w:t>
            </w:r>
          </w:p>
        </w:tc>
      </w:tr>
      <w:tr w:rsidR="007D14A4" w:rsidRPr="007D14A4" w:rsidTr="001D131F">
        <w:trPr>
          <w:trHeight w:val="353"/>
        </w:trPr>
        <w:tc>
          <w:tcPr>
            <w:tcW w:w="1704"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Residents </w:t>
            </w:r>
          </w:p>
        </w:tc>
        <w:tc>
          <w:tcPr>
            <w:tcW w:w="1820"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ind w:right="36"/>
              <w:jc w:val="cente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Acceptable </w:t>
            </w:r>
          </w:p>
        </w:tc>
        <w:tc>
          <w:tcPr>
            <w:tcW w:w="5951" w:type="dxa"/>
            <w:tcBorders>
              <w:top w:val="single" w:sz="4" w:space="0" w:color="000000"/>
              <w:left w:val="single" w:sz="4" w:space="0" w:color="000000"/>
              <w:bottom w:val="single" w:sz="4" w:space="0" w:color="000000"/>
              <w:right w:val="single" w:sz="4" w:space="0" w:color="000000"/>
            </w:tcBorders>
          </w:tcPr>
          <w:p w:rsidR="007D14A4" w:rsidRPr="00C3534E" w:rsidRDefault="007D14A4" w:rsidP="007D14A4">
            <w:pPr>
              <w:rPr>
                <w:rFonts w:ascii="Times New Roman" w:hAnsi="Times New Roman"/>
                <w:noProof/>
                <w:kern w:val="0"/>
                <w:sz w:val="20"/>
                <w:lang w:val="en-GB" w:eastAsia="de-DE"/>
              </w:rPr>
            </w:pPr>
            <w:r w:rsidRPr="00C3534E">
              <w:rPr>
                <w:rFonts w:ascii="Times New Roman" w:hAnsi="Times New Roman"/>
                <w:noProof/>
                <w:kern w:val="0"/>
                <w:sz w:val="20"/>
                <w:lang w:val="en-GB" w:eastAsia="de-DE"/>
              </w:rPr>
              <w:t xml:space="preserve">None </w:t>
            </w:r>
          </w:p>
        </w:tc>
      </w:tr>
    </w:tbl>
    <w:p w:rsidR="00602CF0" w:rsidRPr="00602CF0" w:rsidRDefault="00602CF0" w:rsidP="005E7D14">
      <w:pPr>
        <w:spacing w:before="240"/>
        <w:jc w:val="both"/>
        <w:rPr>
          <w:b/>
          <w:bCs/>
          <w:lang w:val="en-IE"/>
        </w:rPr>
      </w:pPr>
      <w:r w:rsidRPr="00602CF0">
        <w:rPr>
          <w:b/>
          <w:lang w:val="en-IE"/>
        </w:rPr>
        <w:t>No unacceptable risk for operators, workers, bystanders and residents was identified when the product is used as intended and provided that the PPE/ risk mitigation measures stated in Table</w:t>
      </w:r>
      <w:r w:rsidRPr="00602CF0">
        <w:rPr>
          <w:lang w:val="en-IE"/>
        </w:rPr>
        <w:t xml:space="preserve"> </w:t>
      </w:r>
      <w:r w:rsidRPr="00602CF0">
        <w:rPr>
          <w:b/>
          <w:bCs/>
          <w:lang w:val="en-IE"/>
        </w:rPr>
        <w:t xml:space="preserve">6.1-3 are applied. </w:t>
      </w:r>
    </w:p>
    <w:p w:rsidR="00602CF0" w:rsidRPr="00602CF0" w:rsidRDefault="00602CF0" w:rsidP="00602CF0">
      <w:pPr>
        <w:rPr>
          <w:lang w:val="en-IE"/>
        </w:rPr>
      </w:pPr>
      <w:r w:rsidRPr="00602CF0">
        <w:rPr>
          <w:lang w:val="en-IE"/>
        </w:rPr>
        <w:t xml:space="preserve"> </w:t>
      </w:r>
    </w:p>
    <w:p w:rsidR="00602CF0" w:rsidRPr="00602CF0" w:rsidRDefault="00602CF0" w:rsidP="00602CF0">
      <w:pPr>
        <w:rPr>
          <w:lang w:val="en-IE"/>
        </w:rPr>
      </w:pPr>
      <w:r w:rsidRPr="00602CF0">
        <w:rPr>
          <w:lang w:val="en-IE"/>
        </w:rPr>
        <w:t xml:space="preserve">A summary of the critical uses and the overall conclusion regarding exposure for operators, workers and bystanders/residents is presented in the following table. </w:t>
      </w:r>
    </w:p>
    <w:p w:rsidR="00602CF0" w:rsidRPr="00B7670B" w:rsidRDefault="00602CF0" w:rsidP="00602CF0">
      <w:pPr>
        <w:spacing w:before="240" w:line="259" w:lineRule="auto"/>
        <w:rPr>
          <w:rFonts w:eastAsia="Calibri"/>
          <w:color w:val="000000"/>
          <w:kern w:val="2"/>
          <w:lang w:val="en-IE" w:eastAsia="en-IE"/>
        </w:rPr>
      </w:pPr>
      <w:r w:rsidRPr="00B7670B">
        <w:rPr>
          <w:rFonts w:eastAsia="Arial"/>
          <w:b/>
          <w:color w:val="000000"/>
          <w:kern w:val="2"/>
          <w:lang w:val="en-IE" w:eastAsia="en-IE"/>
        </w:rPr>
        <w:t xml:space="preserve">Table 6.1-4 Critical uses and overall conclusion of exposure assessment  </w:t>
      </w:r>
    </w:p>
    <w:tbl>
      <w:tblPr>
        <w:tblStyle w:val="TableGrid1"/>
        <w:tblW w:w="9474" w:type="dxa"/>
        <w:tblInd w:w="-58" w:type="dxa"/>
        <w:tblCellMar>
          <w:top w:w="38" w:type="dxa"/>
          <w:left w:w="55" w:type="dxa"/>
          <w:bottom w:w="42" w:type="dxa"/>
        </w:tblCellMar>
        <w:tblLook w:val="04A0"/>
      </w:tblPr>
      <w:tblGrid>
        <w:gridCol w:w="461"/>
        <w:gridCol w:w="1173"/>
        <w:gridCol w:w="434"/>
        <w:gridCol w:w="1071"/>
        <w:gridCol w:w="1101"/>
        <w:gridCol w:w="1381"/>
        <w:gridCol w:w="759"/>
        <w:gridCol w:w="438"/>
        <w:gridCol w:w="1442"/>
        <w:gridCol w:w="302"/>
        <w:gridCol w:w="305"/>
        <w:gridCol w:w="305"/>
        <w:gridCol w:w="302"/>
      </w:tblGrid>
      <w:tr w:rsidR="00602CF0" w:rsidRPr="00602CF0" w:rsidTr="00492900">
        <w:trPr>
          <w:trHeight w:val="452"/>
        </w:trPr>
        <w:tc>
          <w:tcPr>
            <w:tcW w:w="461"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2"/>
              <w:jc w:val="center"/>
              <w:rPr>
                <w:rFonts w:eastAsia="Calibri" w:cs="Calibri"/>
                <w:color w:val="000000"/>
                <w:lang w:val="en-IE"/>
              </w:rPr>
            </w:pPr>
            <w:r w:rsidRPr="00602CF0">
              <w:rPr>
                <w:rFonts w:ascii="Arial" w:eastAsia="Arial" w:hAnsi="Arial" w:cs="Arial"/>
                <w:b/>
                <w:color w:val="000000"/>
                <w:sz w:val="16"/>
                <w:lang w:val="en-IE"/>
              </w:rPr>
              <w:t xml:space="preserve">1 </w:t>
            </w:r>
          </w:p>
        </w:tc>
        <w:tc>
          <w:tcPr>
            <w:tcW w:w="1176"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47"/>
              <w:jc w:val="center"/>
              <w:rPr>
                <w:rFonts w:eastAsia="Calibri" w:cs="Calibri"/>
                <w:color w:val="000000"/>
                <w:lang w:val="en-IE"/>
              </w:rPr>
            </w:pPr>
            <w:r w:rsidRPr="00602CF0">
              <w:rPr>
                <w:rFonts w:ascii="Arial" w:eastAsia="Arial" w:hAnsi="Arial" w:cs="Arial"/>
                <w:b/>
                <w:color w:val="000000"/>
                <w:sz w:val="16"/>
                <w:lang w:val="en-IE"/>
              </w:rPr>
              <w:t xml:space="preserve">2 </w:t>
            </w:r>
          </w:p>
        </w:tc>
        <w:tc>
          <w:tcPr>
            <w:tcW w:w="434"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0"/>
              <w:jc w:val="center"/>
              <w:rPr>
                <w:rFonts w:eastAsia="Calibri" w:cs="Calibri"/>
                <w:color w:val="000000"/>
                <w:lang w:val="en-IE"/>
              </w:rPr>
            </w:pPr>
            <w:r w:rsidRPr="00602CF0">
              <w:rPr>
                <w:rFonts w:ascii="Arial" w:eastAsia="Arial" w:hAnsi="Arial" w:cs="Arial"/>
                <w:b/>
                <w:color w:val="000000"/>
                <w:sz w:val="16"/>
                <w:lang w:val="en-IE"/>
              </w:rPr>
              <w:t xml:space="preserve">3 </w:t>
            </w:r>
          </w:p>
        </w:tc>
        <w:tc>
          <w:tcPr>
            <w:tcW w:w="1073"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4"/>
              <w:jc w:val="center"/>
              <w:rPr>
                <w:rFonts w:eastAsia="Calibri" w:cs="Calibri"/>
                <w:color w:val="000000"/>
                <w:lang w:val="en-IE"/>
              </w:rPr>
            </w:pPr>
            <w:r w:rsidRPr="00602CF0">
              <w:rPr>
                <w:rFonts w:ascii="Arial" w:eastAsia="Arial" w:hAnsi="Arial" w:cs="Arial"/>
                <w:b/>
                <w:color w:val="000000"/>
                <w:sz w:val="16"/>
                <w:lang w:val="en-IE"/>
              </w:rPr>
              <w:t xml:space="preserve">4 </w:t>
            </w:r>
          </w:p>
        </w:tc>
        <w:tc>
          <w:tcPr>
            <w:tcW w:w="1102"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5"/>
              <w:jc w:val="center"/>
              <w:rPr>
                <w:rFonts w:eastAsia="Calibri" w:cs="Calibri"/>
                <w:color w:val="000000"/>
                <w:lang w:val="en-IE"/>
              </w:rPr>
            </w:pPr>
            <w:r w:rsidRPr="00602CF0">
              <w:rPr>
                <w:rFonts w:ascii="Arial" w:eastAsia="Arial" w:hAnsi="Arial" w:cs="Arial"/>
                <w:b/>
                <w:color w:val="000000"/>
                <w:sz w:val="16"/>
                <w:lang w:val="en-IE"/>
              </w:rPr>
              <w:t xml:space="preserve">5 </w:t>
            </w:r>
          </w:p>
        </w:tc>
        <w:tc>
          <w:tcPr>
            <w:tcW w:w="1371"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4"/>
              <w:jc w:val="center"/>
              <w:rPr>
                <w:rFonts w:eastAsia="Calibri" w:cs="Calibri"/>
                <w:color w:val="000000"/>
                <w:lang w:val="en-IE"/>
              </w:rPr>
            </w:pPr>
            <w:r w:rsidRPr="00602CF0">
              <w:rPr>
                <w:rFonts w:ascii="Arial" w:eastAsia="Arial" w:hAnsi="Arial" w:cs="Arial"/>
                <w:b/>
                <w:color w:val="000000"/>
                <w:sz w:val="16"/>
                <w:lang w:val="en-IE"/>
              </w:rPr>
              <w:t xml:space="preserve">6 </w:t>
            </w:r>
          </w:p>
        </w:tc>
        <w:tc>
          <w:tcPr>
            <w:tcW w:w="761"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5"/>
              <w:jc w:val="center"/>
              <w:rPr>
                <w:rFonts w:eastAsia="Calibri" w:cs="Calibri"/>
                <w:color w:val="000000"/>
                <w:lang w:val="en-IE"/>
              </w:rPr>
            </w:pPr>
            <w:r w:rsidRPr="00602CF0">
              <w:rPr>
                <w:rFonts w:ascii="Arial" w:eastAsia="Arial" w:hAnsi="Arial" w:cs="Arial"/>
                <w:b/>
                <w:color w:val="000000"/>
                <w:sz w:val="16"/>
                <w:lang w:val="en-IE"/>
              </w:rPr>
              <w:t xml:space="preserve">7 </w:t>
            </w:r>
          </w:p>
        </w:tc>
        <w:tc>
          <w:tcPr>
            <w:tcW w:w="439" w:type="dxa"/>
            <w:tcBorders>
              <w:top w:val="single" w:sz="4" w:space="0" w:color="000000"/>
              <w:left w:val="single" w:sz="4" w:space="0" w:color="000000"/>
              <w:bottom w:val="single" w:sz="4" w:space="0" w:color="000000"/>
              <w:right w:val="single" w:sz="4" w:space="0" w:color="000000"/>
            </w:tcBorders>
            <w:vAlign w:val="center"/>
          </w:tcPr>
          <w:p w:rsidR="00602CF0" w:rsidRPr="00602CF0" w:rsidRDefault="00602CF0" w:rsidP="00602CF0">
            <w:pPr>
              <w:ind w:right="55"/>
              <w:jc w:val="center"/>
              <w:rPr>
                <w:rFonts w:eastAsia="Calibri" w:cs="Calibri"/>
                <w:color w:val="000000"/>
                <w:lang w:val="en-IE"/>
              </w:rPr>
            </w:pPr>
            <w:r w:rsidRPr="00602CF0">
              <w:rPr>
                <w:rFonts w:ascii="Arial" w:eastAsia="Arial" w:hAnsi="Arial" w:cs="Arial"/>
                <w:b/>
                <w:color w:val="000000"/>
                <w:sz w:val="16"/>
                <w:lang w:val="en-IE"/>
              </w:rPr>
              <w:t xml:space="preserve">8 </w:t>
            </w:r>
          </w:p>
        </w:tc>
        <w:tc>
          <w:tcPr>
            <w:tcW w:w="1443" w:type="dxa"/>
            <w:tcBorders>
              <w:top w:val="single" w:sz="4" w:space="0" w:color="000000"/>
              <w:left w:val="single" w:sz="4" w:space="0" w:color="000000"/>
              <w:bottom w:val="single" w:sz="4" w:space="0" w:color="000000"/>
              <w:right w:val="single" w:sz="4" w:space="0" w:color="auto"/>
            </w:tcBorders>
            <w:vAlign w:val="center"/>
          </w:tcPr>
          <w:p w:rsidR="00602CF0" w:rsidRPr="00602CF0" w:rsidRDefault="00602CF0" w:rsidP="00602CF0">
            <w:pPr>
              <w:ind w:right="54"/>
              <w:jc w:val="center"/>
              <w:rPr>
                <w:rFonts w:eastAsia="Calibri" w:cs="Calibri"/>
                <w:color w:val="000000"/>
                <w:lang w:val="en-IE"/>
              </w:rPr>
            </w:pPr>
            <w:r w:rsidRPr="00602CF0">
              <w:rPr>
                <w:rFonts w:ascii="Arial" w:eastAsia="Arial" w:hAnsi="Arial" w:cs="Arial"/>
                <w:b/>
                <w:color w:val="000000"/>
                <w:sz w:val="16"/>
                <w:lang w:val="en-IE"/>
              </w:rPr>
              <w:t xml:space="preserve">9 </w:t>
            </w:r>
          </w:p>
        </w:tc>
        <w:tc>
          <w:tcPr>
            <w:tcW w:w="1214" w:type="dxa"/>
            <w:gridSpan w:val="4"/>
            <w:tcBorders>
              <w:top w:val="single" w:sz="4" w:space="0" w:color="auto"/>
              <w:left w:val="single" w:sz="4" w:space="0" w:color="auto"/>
              <w:bottom w:val="single" w:sz="4" w:space="0" w:color="auto"/>
              <w:right w:val="single" w:sz="4" w:space="0" w:color="auto"/>
            </w:tcBorders>
            <w:vAlign w:val="center"/>
          </w:tcPr>
          <w:p w:rsidR="00602CF0" w:rsidRPr="00602CF0" w:rsidRDefault="00602CF0" w:rsidP="00602CF0">
            <w:pPr>
              <w:ind w:right="59"/>
              <w:jc w:val="center"/>
              <w:rPr>
                <w:rFonts w:eastAsia="Calibri" w:cs="Calibri"/>
                <w:color w:val="000000"/>
                <w:lang w:val="en-IE"/>
              </w:rPr>
            </w:pPr>
            <w:r w:rsidRPr="00602CF0">
              <w:rPr>
                <w:rFonts w:ascii="Arial" w:eastAsia="Arial" w:hAnsi="Arial" w:cs="Arial"/>
                <w:b/>
                <w:color w:val="000000"/>
                <w:sz w:val="16"/>
                <w:lang w:val="en-IE"/>
              </w:rPr>
              <w:t xml:space="preserve">10 </w:t>
            </w:r>
          </w:p>
        </w:tc>
      </w:tr>
      <w:tr w:rsidR="00602CF0" w:rsidRPr="00602CF0" w:rsidTr="00492900">
        <w:trPr>
          <w:trHeight w:val="669"/>
        </w:trPr>
        <w:tc>
          <w:tcPr>
            <w:tcW w:w="461" w:type="dxa"/>
            <w:vMerge w:val="restart"/>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jc w:val="both"/>
              <w:rPr>
                <w:rFonts w:ascii="Times New Roman" w:eastAsia="Calibri" w:hAnsi="Times New Roman"/>
                <w:color w:val="000000"/>
                <w:lang w:val="en-IE"/>
              </w:rPr>
            </w:pPr>
            <w:r w:rsidRPr="00B7670B">
              <w:rPr>
                <w:rFonts w:ascii="Times New Roman" w:eastAsia="Arial" w:hAnsi="Times New Roman"/>
                <w:b/>
                <w:color w:val="000000"/>
                <w:sz w:val="16"/>
                <w:lang w:val="en-IE"/>
              </w:rPr>
              <w:t>Use-</w:t>
            </w:r>
          </w:p>
          <w:p w:rsidR="00602CF0" w:rsidRPr="00B7670B" w:rsidRDefault="00602CF0" w:rsidP="00602CF0">
            <w:pPr>
              <w:ind w:left="2"/>
              <w:jc w:val="both"/>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No.* </w:t>
            </w:r>
          </w:p>
        </w:tc>
        <w:tc>
          <w:tcPr>
            <w:tcW w:w="1176" w:type="dxa"/>
            <w:vMerge w:val="restart"/>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5" w:right="5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Crops and situation (e.g. growth stage of crop) </w:t>
            </w:r>
          </w:p>
        </w:tc>
        <w:tc>
          <w:tcPr>
            <w:tcW w:w="434" w:type="dxa"/>
            <w:vMerge w:val="restart"/>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F, </w:t>
            </w:r>
          </w:p>
          <w:p w:rsidR="00602CF0" w:rsidRPr="00B7670B" w:rsidRDefault="00602CF0" w:rsidP="00602CF0">
            <w:pPr>
              <w:ind w:left="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Fn, </w:t>
            </w:r>
          </w:p>
          <w:p w:rsidR="00602CF0" w:rsidRPr="00B7670B" w:rsidRDefault="00602CF0" w:rsidP="00602CF0">
            <w:pPr>
              <w:ind w:left="5"/>
              <w:jc w:val="both"/>
              <w:rPr>
                <w:rFonts w:ascii="Times New Roman" w:eastAsia="Calibri" w:hAnsi="Times New Roman"/>
                <w:color w:val="000000"/>
                <w:lang w:val="en-IE"/>
              </w:rPr>
            </w:pPr>
            <w:proofErr w:type="spellStart"/>
            <w:r w:rsidRPr="00B7670B">
              <w:rPr>
                <w:rFonts w:ascii="Times New Roman" w:eastAsia="Arial" w:hAnsi="Times New Roman"/>
                <w:b/>
                <w:color w:val="000000"/>
                <w:sz w:val="16"/>
                <w:lang w:val="en-IE"/>
              </w:rPr>
              <w:t>Fpn</w:t>
            </w:r>
            <w:proofErr w:type="spellEnd"/>
            <w:r w:rsidRPr="00B7670B">
              <w:rPr>
                <w:rFonts w:ascii="Times New Roman" w:eastAsia="Arial" w:hAnsi="Times New Roman"/>
                <w:b/>
                <w:color w:val="000000"/>
                <w:sz w:val="16"/>
                <w:lang w:val="en-IE"/>
              </w:rPr>
              <w:t xml:space="preserve"> </w:t>
            </w:r>
          </w:p>
          <w:p w:rsidR="00602CF0" w:rsidRPr="00B7670B" w:rsidRDefault="00602CF0" w:rsidP="00602CF0">
            <w:pPr>
              <w:ind w:left="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G, </w:t>
            </w:r>
          </w:p>
          <w:p w:rsidR="00602CF0" w:rsidRPr="00B7670B" w:rsidRDefault="00602CF0" w:rsidP="00602CF0">
            <w:pPr>
              <w:spacing w:after="2" w:line="237" w:lineRule="auto"/>
              <w:ind w:left="5"/>
              <w:rPr>
                <w:rFonts w:ascii="Times New Roman" w:eastAsia="Calibri" w:hAnsi="Times New Roman"/>
                <w:color w:val="000000"/>
                <w:lang w:val="en-IE"/>
              </w:rPr>
            </w:pPr>
            <w:proofErr w:type="spellStart"/>
            <w:r w:rsidRPr="00B7670B">
              <w:rPr>
                <w:rFonts w:ascii="Times New Roman" w:eastAsia="Arial" w:hAnsi="Times New Roman"/>
                <w:b/>
                <w:color w:val="000000"/>
                <w:sz w:val="16"/>
                <w:lang w:val="en-IE"/>
              </w:rPr>
              <w:t>Gn</w:t>
            </w:r>
            <w:proofErr w:type="spellEnd"/>
            <w:r w:rsidRPr="00B7670B">
              <w:rPr>
                <w:rFonts w:ascii="Times New Roman" w:eastAsia="Arial" w:hAnsi="Times New Roman"/>
                <w:b/>
                <w:color w:val="000000"/>
                <w:sz w:val="16"/>
                <w:lang w:val="en-IE"/>
              </w:rPr>
              <w:t xml:space="preserve">, </w:t>
            </w:r>
            <w:proofErr w:type="spellStart"/>
            <w:r w:rsidRPr="00B7670B">
              <w:rPr>
                <w:rFonts w:ascii="Times New Roman" w:eastAsia="Arial" w:hAnsi="Times New Roman"/>
                <w:b/>
                <w:color w:val="000000"/>
                <w:sz w:val="16"/>
                <w:lang w:val="en-IE"/>
              </w:rPr>
              <w:t>Gpn</w:t>
            </w:r>
            <w:proofErr w:type="spellEnd"/>
            <w:r w:rsidRPr="00B7670B">
              <w:rPr>
                <w:rFonts w:ascii="Times New Roman" w:eastAsia="Arial" w:hAnsi="Times New Roman"/>
                <w:b/>
                <w:color w:val="000000"/>
                <w:sz w:val="16"/>
                <w:lang w:val="en-IE"/>
              </w:rPr>
              <w:t xml:space="preserve"> </w:t>
            </w:r>
          </w:p>
          <w:p w:rsidR="00602CF0" w:rsidRPr="00B7670B" w:rsidRDefault="00602CF0" w:rsidP="00602CF0">
            <w:pPr>
              <w:ind w:left="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or </w:t>
            </w:r>
          </w:p>
          <w:p w:rsidR="00602CF0" w:rsidRPr="00B7670B" w:rsidRDefault="00602CF0" w:rsidP="00602CF0">
            <w:pPr>
              <w:ind w:left="5"/>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I ** </w:t>
            </w:r>
          </w:p>
        </w:tc>
        <w:tc>
          <w:tcPr>
            <w:tcW w:w="2175" w:type="dxa"/>
            <w:gridSpan w:val="2"/>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Application </w:t>
            </w:r>
          </w:p>
        </w:tc>
        <w:tc>
          <w:tcPr>
            <w:tcW w:w="2132" w:type="dxa"/>
            <w:gridSpan w:val="2"/>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Application rate </w:t>
            </w:r>
          </w:p>
        </w:tc>
        <w:tc>
          <w:tcPr>
            <w:tcW w:w="439" w:type="dxa"/>
            <w:vMerge w:val="restart"/>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jc w:val="both"/>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PHI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(d) </w:t>
            </w:r>
          </w:p>
        </w:tc>
        <w:tc>
          <w:tcPr>
            <w:tcW w:w="1443" w:type="dxa"/>
            <w:vMerge w:val="restart"/>
            <w:tcBorders>
              <w:top w:val="single" w:sz="4" w:space="0" w:color="000000"/>
              <w:left w:val="single" w:sz="4" w:space="0" w:color="000000"/>
              <w:bottom w:val="single" w:sz="4" w:space="0" w:color="000000"/>
              <w:right w:val="single" w:sz="4" w:space="0" w:color="auto"/>
            </w:tcBorders>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Remarks: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(e.g. safener/synergist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(L/ha))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 </w:t>
            </w:r>
          </w:p>
          <w:p w:rsidR="00602CF0" w:rsidRPr="00B7670B" w:rsidRDefault="00602CF0" w:rsidP="00602CF0">
            <w:pPr>
              <w:spacing w:after="1" w:line="239" w:lineRule="auto"/>
              <w:ind w:left="2"/>
              <w:rPr>
                <w:rFonts w:ascii="Times New Roman" w:eastAsia="Calibri" w:hAnsi="Times New Roman"/>
                <w:color w:val="000000"/>
                <w:lang w:val="en-IE"/>
              </w:rPr>
            </w:pPr>
            <w:r w:rsidRPr="00B7670B">
              <w:rPr>
                <w:rFonts w:ascii="Times New Roman" w:eastAsia="Arial" w:hAnsi="Times New Roman"/>
                <w:b/>
                <w:color w:val="000000"/>
                <w:sz w:val="16"/>
                <w:lang w:val="en-IE"/>
              </w:rPr>
              <w:t>critical gap for operator, worker, bystander or resident exposure based on [Exposure mod-</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el] </w:t>
            </w:r>
          </w:p>
        </w:tc>
        <w:tc>
          <w:tcPr>
            <w:tcW w:w="1214" w:type="dxa"/>
            <w:gridSpan w:val="4"/>
            <w:tcBorders>
              <w:top w:val="single" w:sz="4" w:space="0" w:color="auto"/>
              <w:left w:val="single" w:sz="4" w:space="0" w:color="auto"/>
              <w:bottom w:val="single" w:sz="4" w:space="0" w:color="auto"/>
              <w:right w:val="single" w:sz="4" w:space="0" w:color="auto"/>
            </w:tcBorders>
            <w:shd w:val="clear" w:color="auto" w:fill="D9D9D9"/>
          </w:tcPr>
          <w:p w:rsidR="00602CF0" w:rsidRPr="00B7670B" w:rsidRDefault="00602CF0" w:rsidP="00602CF0">
            <w:pPr>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Acceptability of exposure assessment  </w:t>
            </w:r>
          </w:p>
        </w:tc>
      </w:tr>
      <w:tr w:rsidR="00602CF0" w:rsidRPr="00602CF0" w:rsidTr="00492900">
        <w:trPr>
          <w:trHeight w:val="1824"/>
        </w:trPr>
        <w:tc>
          <w:tcPr>
            <w:tcW w:w="0" w:type="auto"/>
            <w:vMerge/>
            <w:tcBorders>
              <w:top w:val="nil"/>
              <w:left w:val="single" w:sz="4" w:space="0" w:color="000000"/>
              <w:bottom w:val="single" w:sz="4" w:space="0" w:color="000000"/>
              <w:right w:val="single" w:sz="4" w:space="0" w:color="000000"/>
            </w:tcBorders>
          </w:tcPr>
          <w:p w:rsidR="00602CF0" w:rsidRPr="00B7670B" w:rsidRDefault="00602CF0" w:rsidP="00602CF0">
            <w:pPr>
              <w:rPr>
                <w:rFonts w:ascii="Times New Roman" w:eastAsia="Calibri" w:hAnsi="Times New Roman"/>
                <w:color w:val="000000"/>
                <w:lang w:val="en-IE"/>
              </w:rPr>
            </w:pPr>
          </w:p>
        </w:tc>
        <w:tc>
          <w:tcPr>
            <w:tcW w:w="0" w:type="auto"/>
            <w:vMerge/>
            <w:tcBorders>
              <w:top w:val="nil"/>
              <w:left w:val="single" w:sz="4" w:space="0" w:color="000000"/>
              <w:bottom w:val="single" w:sz="4" w:space="0" w:color="000000"/>
              <w:right w:val="single" w:sz="4" w:space="0" w:color="000000"/>
            </w:tcBorders>
          </w:tcPr>
          <w:p w:rsidR="00602CF0" w:rsidRPr="00B7670B" w:rsidRDefault="00602CF0" w:rsidP="00602CF0">
            <w:pPr>
              <w:rPr>
                <w:rFonts w:ascii="Times New Roman" w:eastAsia="Calibri" w:hAnsi="Times New Roman"/>
                <w:color w:val="000000"/>
                <w:lang w:val="en-IE"/>
              </w:rPr>
            </w:pPr>
          </w:p>
        </w:tc>
        <w:tc>
          <w:tcPr>
            <w:tcW w:w="0" w:type="auto"/>
            <w:vMerge/>
            <w:tcBorders>
              <w:top w:val="nil"/>
              <w:left w:val="single" w:sz="4" w:space="0" w:color="000000"/>
              <w:bottom w:val="single" w:sz="4" w:space="0" w:color="000000"/>
              <w:right w:val="single" w:sz="4" w:space="0" w:color="000000"/>
            </w:tcBorders>
          </w:tcPr>
          <w:p w:rsidR="00602CF0" w:rsidRPr="00B7670B" w:rsidRDefault="00602CF0" w:rsidP="00602CF0">
            <w:pPr>
              <w:rPr>
                <w:rFonts w:ascii="Times New Roman" w:eastAsia="Calibri" w:hAnsi="Times New Roman"/>
                <w:color w:val="000000"/>
                <w:lang w:val="en-IE"/>
              </w:rPr>
            </w:pPr>
          </w:p>
        </w:tc>
        <w:tc>
          <w:tcPr>
            <w:tcW w:w="1073"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spacing w:after="120"/>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Method / Kind </w:t>
            </w:r>
          </w:p>
          <w:p w:rsidR="00602CF0" w:rsidRPr="00B7670B" w:rsidRDefault="00602CF0" w:rsidP="00602CF0">
            <w:pPr>
              <w:ind w:left="2" w:right="-9"/>
              <w:jc w:val="both"/>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(incl. application technique *** </w:t>
            </w:r>
          </w:p>
        </w:tc>
        <w:tc>
          <w:tcPr>
            <w:tcW w:w="1102"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jc w:val="both"/>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Max. number </w:t>
            </w:r>
          </w:p>
          <w:p w:rsidR="00602CF0" w:rsidRPr="00B7670B" w:rsidRDefault="00602CF0" w:rsidP="00602CF0">
            <w:pPr>
              <w:spacing w:line="291" w:lineRule="auto"/>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(min. interval between applications) a) per use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b) per crop/ season </w:t>
            </w:r>
          </w:p>
        </w:tc>
        <w:tc>
          <w:tcPr>
            <w:tcW w:w="1371"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jc w:val="both"/>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Max. application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rate  </w:t>
            </w:r>
          </w:p>
          <w:p w:rsidR="00602CF0" w:rsidRPr="00B7670B" w:rsidRDefault="00602CF0" w:rsidP="00C67467">
            <w:pPr>
              <w:rPr>
                <w:rFonts w:ascii="Times New Roman" w:eastAsia="Arial" w:hAnsi="Times New Roman"/>
                <w:b/>
                <w:color w:val="000000"/>
                <w:sz w:val="16"/>
                <w:lang w:val="en-IE"/>
              </w:rPr>
            </w:pPr>
            <w:r w:rsidRPr="00B7670B">
              <w:rPr>
                <w:rFonts w:ascii="Times New Roman" w:eastAsia="Arial" w:hAnsi="Times New Roman"/>
                <w:b/>
                <w:color w:val="000000"/>
                <w:sz w:val="16"/>
                <w:lang w:val="en-IE"/>
              </w:rPr>
              <w:t xml:space="preserve">g as/ha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  </w:t>
            </w:r>
          </w:p>
          <w:p w:rsidR="00602CF0" w:rsidRPr="00B7670B" w:rsidRDefault="00602CF0" w:rsidP="00BB3B98">
            <w:pPr>
              <w:numPr>
                <w:ilvl w:val="0"/>
                <w:numId w:val="13"/>
              </w:numPr>
              <w:ind w:left="196"/>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IMS </w:t>
            </w:r>
          </w:p>
          <w:p w:rsidR="00602CF0" w:rsidRPr="00B7670B" w:rsidRDefault="00602CF0" w:rsidP="00BB3B98">
            <w:pPr>
              <w:numPr>
                <w:ilvl w:val="0"/>
                <w:numId w:val="13"/>
              </w:numPr>
              <w:ind w:left="196"/>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MSM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c)safener MPR </w:t>
            </w:r>
          </w:p>
        </w:tc>
        <w:tc>
          <w:tcPr>
            <w:tcW w:w="761"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Water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L/ha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b/>
                <w:color w:val="000000"/>
                <w:sz w:val="16"/>
                <w:lang w:val="en-IE"/>
              </w:rPr>
              <w:t xml:space="preserve">min / max </w:t>
            </w:r>
          </w:p>
        </w:tc>
        <w:tc>
          <w:tcPr>
            <w:tcW w:w="0" w:type="auto"/>
            <w:vMerge/>
            <w:tcBorders>
              <w:top w:val="nil"/>
              <w:left w:val="single" w:sz="4" w:space="0" w:color="000000"/>
              <w:bottom w:val="single" w:sz="4" w:space="0" w:color="000000"/>
              <w:right w:val="single" w:sz="4" w:space="0" w:color="000000"/>
            </w:tcBorders>
          </w:tcPr>
          <w:p w:rsidR="00602CF0" w:rsidRPr="00B7670B" w:rsidRDefault="00602CF0" w:rsidP="00602CF0">
            <w:pPr>
              <w:rPr>
                <w:rFonts w:ascii="Times New Roman" w:eastAsia="Calibri" w:hAnsi="Times New Roman"/>
                <w:color w:val="000000"/>
                <w:lang w:val="en-IE"/>
              </w:rPr>
            </w:pPr>
          </w:p>
        </w:tc>
        <w:tc>
          <w:tcPr>
            <w:tcW w:w="0" w:type="auto"/>
            <w:vMerge/>
            <w:tcBorders>
              <w:top w:val="nil"/>
              <w:left w:val="single" w:sz="4" w:space="0" w:color="000000"/>
              <w:bottom w:val="single" w:sz="4" w:space="0" w:color="000000"/>
              <w:right w:val="single" w:sz="4" w:space="0" w:color="auto"/>
            </w:tcBorders>
          </w:tcPr>
          <w:p w:rsidR="00602CF0" w:rsidRPr="00B7670B" w:rsidRDefault="00602CF0" w:rsidP="00602CF0">
            <w:pPr>
              <w:rPr>
                <w:rFonts w:ascii="Times New Roman" w:eastAsia="Calibri" w:hAnsi="Times New Roman"/>
                <w:color w:val="000000"/>
                <w:lang w:val="en-IE"/>
              </w:rPr>
            </w:pPr>
          </w:p>
        </w:tc>
        <w:tc>
          <w:tcPr>
            <w:tcW w:w="302" w:type="dxa"/>
            <w:tcBorders>
              <w:top w:val="single" w:sz="4" w:space="0" w:color="auto"/>
              <w:left w:val="single" w:sz="4" w:space="0" w:color="auto"/>
              <w:bottom w:val="single" w:sz="4" w:space="0" w:color="auto"/>
              <w:right w:val="single" w:sz="4" w:space="0" w:color="auto"/>
            </w:tcBorders>
            <w:shd w:val="clear" w:color="auto" w:fill="D9D9D9"/>
            <w:vAlign w:val="center"/>
          </w:tcPr>
          <w:p w:rsidR="00602CF0" w:rsidRPr="00B7670B" w:rsidRDefault="00772379" w:rsidP="00C67467">
            <w:pPr>
              <w:ind w:left="6"/>
              <w:rPr>
                <w:rFonts w:ascii="Times New Roman" w:eastAsia="Calibri" w:hAnsi="Times New Roman"/>
                <w:color w:val="000000"/>
                <w:lang w:val="en-IE"/>
              </w:rPr>
            </w:pPr>
            <w:r w:rsidRPr="00772379">
              <w:rPr>
                <w:rFonts w:ascii="Times New Roman" w:eastAsia="Calibri" w:hAnsi="Times New Roman"/>
                <w:noProof/>
                <w:color w:val="000000"/>
                <w:kern w:val="0"/>
                <w:lang w:val="en-IE" w:eastAsia="de-DE"/>
              </w:rPr>
            </w:r>
            <w:r w:rsidRPr="00772379">
              <w:rPr>
                <w:rFonts w:ascii="Times New Roman" w:eastAsia="Calibri" w:hAnsi="Times New Roman"/>
                <w:noProof/>
                <w:color w:val="000000"/>
                <w:kern w:val="0"/>
                <w:lang w:val="en-IE" w:eastAsia="de-DE"/>
              </w:rPr>
              <w:pict>
                <v:group id="Group 169746" o:spid="_x0000_s1026" style="width:8.95pt;height:36.1pt;mso-position-horizontal-relative:char;mso-position-vertical-relative:line" coordsize="113851,458154">
                  <v:rect id="Rectangle 1944" o:spid="_x0000_s1027" style="position:absolute;left:-210019;top:96712;width:571462;height:151422;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" filled="f" stroked="f">
                    <v:textbox inset="0,0,0,0">
                      <w:txbxContent>
                        <w:p w:rsidR="00936FBA" w:rsidRPr="005E7D14" w:rsidRDefault="00936FBA" w:rsidP="005E7D14">
                          <w:pPr>
                            <w:ind w:left="5" w:right="55"/>
                            <w:rPr>
                              <w:rFonts w:eastAsia="Arial"/>
                              <w:b/>
                              <w:color w:val="000000"/>
                              <w:sz w:val="16"/>
                              <w:lang w:val="en-IE"/>
                            </w:rPr>
                          </w:pPr>
                          <w:r w:rsidRPr="005E7D14">
                            <w:rPr>
                              <w:rFonts w:eastAsia="Arial"/>
                              <w:b/>
                              <w:color w:val="000000"/>
                              <w:kern w:val="2"/>
                              <w:sz w:val="20"/>
                              <w:szCs w:val="20"/>
                              <w:lang w:val="en-IE" w:eastAsia="en-IE"/>
                            </w:rPr>
                            <w:t>Operator</w:t>
                          </w:r>
                        </w:p>
                      </w:txbxContent>
                    </v:textbox>
                  </v:rect>
                  <v:rect id="Rectangle 1945" o:spid="_x0000_s1028" style="position:absolute;left:56834;top:-66200;width:37753;height:151421;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" filled="f" stroked="f">
                    <v:textbox inset="0,0,0,0">
                      <w:txbxContent>
                        <w:p w:rsidR="00936FBA" w:rsidRDefault="00936FBA" w:rsidP="00602CF0">
                          <w:r>
                            <w:rPr>
                              <w:rFonts w:ascii="Arial" w:eastAsia="Arial" w:hAnsi="Arial" w:cs="Arial"/>
                              <w:b/>
                              <w:sz w:val="16"/>
                            </w:rPr>
                            <w:t xml:space="preserve"> </w:t>
                          </w:r>
                        </w:p>
                      </w:txbxContent>
                    </v:textbox>
                  </v:rect>
                  <w10:wrap type="none"/>
                  <w10:anchorlock/>
                </v:group>
              </w:pict>
            </w:r>
          </w:p>
        </w:tc>
        <w:tc>
          <w:tcPr>
            <w:tcW w:w="305" w:type="dxa"/>
            <w:tcBorders>
              <w:top w:val="single" w:sz="4" w:space="0" w:color="auto"/>
              <w:left w:val="single" w:sz="4" w:space="0" w:color="auto"/>
              <w:bottom w:val="single" w:sz="4" w:space="0" w:color="auto"/>
              <w:right w:val="single" w:sz="4" w:space="0" w:color="auto"/>
            </w:tcBorders>
            <w:shd w:val="clear" w:color="auto" w:fill="D9D9D9"/>
            <w:vAlign w:val="center"/>
          </w:tcPr>
          <w:p w:rsidR="00602CF0" w:rsidRPr="005E7D14" w:rsidRDefault="00772379" w:rsidP="00C67467">
            <w:pPr>
              <w:ind w:left="8"/>
              <w:rPr>
                <w:rFonts w:ascii="Times New Roman" w:eastAsia="Calibri" w:hAnsi="Times New Roman"/>
                <w:color w:val="000000"/>
                <w:lang w:val="en-IE"/>
              </w:rPr>
            </w:pPr>
            <w:r w:rsidRPr="00772379">
              <w:rPr>
                <w:rFonts w:ascii="Times New Roman" w:eastAsia="Calibri" w:hAnsi="Times New Roman"/>
                <w:noProof/>
                <w:color w:val="000000"/>
                <w:kern w:val="0"/>
                <w:lang w:val="en-IE" w:eastAsia="de-DE"/>
              </w:rPr>
            </w:r>
            <w:r w:rsidRPr="00772379">
              <w:rPr>
                <w:rFonts w:ascii="Times New Roman" w:eastAsia="Calibri" w:hAnsi="Times New Roman"/>
                <w:noProof/>
                <w:color w:val="000000"/>
                <w:kern w:val="0"/>
                <w:lang w:val="en-IE" w:eastAsia="de-DE"/>
              </w:rPr>
              <w:pict>
                <v:group id="Group 169750" o:spid="_x0000_s1029" style="width:8.95pt;height:29.85pt;mso-position-horizontal-relative:char;mso-position-vertical-relative:line" coordsize="113851,378906">
                  <v:rect id="Rectangle 1948" o:spid="_x0000_s1030" style="position:absolute;left:-157395;top:70088;width:466213;height:151422;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" filled="f" stroked="f">
                    <v:textbox inset="0,0,0,0">
                      <w:txbxContent>
                        <w:p w:rsidR="00936FBA" w:rsidRDefault="00936FBA" w:rsidP="00602CF0">
                          <w:r w:rsidRPr="005E7D14">
                            <w:rPr>
                              <w:rFonts w:eastAsia="Arial"/>
                              <w:b/>
                              <w:sz w:val="20"/>
                              <w:szCs w:val="20"/>
                            </w:rPr>
                            <w:t>Worker</w:t>
                          </w:r>
                        </w:p>
                      </w:txbxContent>
                    </v:textbox>
                  </v:rect>
                  <v:rect id="Rectangle 1949" o:spid="_x0000_s1031" style="position:absolute;left:56834;top:-66200;width:37753;height:151421;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" filled="f" stroked="f">
                    <v:textbox inset="0,0,0,0">
                      <w:txbxContent>
                        <w:p w:rsidR="00936FBA" w:rsidRDefault="00936FBA" w:rsidP="00602CF0">
                          <w:r>
                            <w:rPr>
                              <w:rFonts w:ascii="Arial" w:eastAsia="Arial" w:hAnsi="Arial" w:cs="Arial"/>
                              <w:b/>
                              <w:sz w:val="16"/>
                            </w:rPr>
                            <w:t xml:space="preserve"> </w:t>
                          </w:r>
                        </w:p>
                      </w:txbxContent>
                    </v:textbox>
                  </v:rect>
                  <w10:wrap type="none"/>
                  <w10:anchorlock/>
                </v:group>
              </w:pict>
            </w:r>
          </w:p>
        </w:tc>
        <w:tc>
          <w:tcPr>
            <w:tcW w:w="305" w:type="dxa"/>
            <w:tcBorders>
              <w:top w:val="single" w:sz="4" w:space="0" w:color="auto"/>
              <w:left w:val="single" w:sz="4" w:space="0" w:color="auto"/>
              <w:bottom w:val="single" w:sz="4" w:space="0" w:color="auto"/>
              <w:right w:val="single" w:sz="4" w:space="0" w:color="auto"/>
            </w:tcBorders>
            <w:shd w:val="clear" w:color="auto" w:fill="D9D9D9"/>
            <w:vAlign w:val="center"/>
          </w:tcPr>
          <w:p w:rsidR="00602CF0" w:rsidRPr="005E7D14" w:rsidRDefault="00772379" w:rsidP="00486CC8">
            <w:pPr>
              <w:rPr>
                <w:rFonts w:ascii="Times New Roman" w:eastAsia="Calibri" w:hAnsi="Times New Roman"/>
              </w:rPr>
            </w:pPr>
            <w:r w:rsidRPr="00772379">
              <w:rPr>
                <w:rFonts w:ascii="Times New Roman" w:eastAsia="Calibri" w:hAnsi="Times New Roman"/>
                <w:noProof/>
                <w:kern w:val="0"/>
                <w:lang w:eastAsia="de-DE"/>
              </w:rPr>
            </w:r>
            <w:r w:rsidRPr="00772379">
              <w:rPr>
                <w:rFonts w:ascii="Times New Roman" w:eastAsia="Calibri" w:hAnsi="Times New Roman"/>
                <w:noProof/>
                <w:kern w:val="0"/>
                <w:lang w:eastAsia="de-DE"/>
              </w:rPr>
              <w:pict>
                <v:group id="Group 169754" o:spid="_x0000_s1032" style="width:8.95pt;height:41.35pt;mso-position-horizontal-relative:char;mso-position-vertical-relative:line" coordsize="1138,5252">
                  <v:rect id="Rectangle 1952" o:spid="_x0000_s1033" style="position:absolute;left:-2548;top:1191;width:6609;height:1514;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" filled="f" stroked="f">
                    <v:textbox inset="0,0,0,0">
                      <w:txbxContent>
                        <w:p w:rsidR="00936FBA" w:rsidRDefault="00936FBA" w:rsidP="00602CF0">
                          <w:r w:rsidRPr="005E7D14">
                            <w:rPr>
                              <w:rFonts w:eastAsia="Arial"/>
                              <w:b/>
                              <w:sz w:val="20"/>
                              <w:szCs w:val="20"/>
                            </w:rPr>
                            <w:t>Bystander</w:t>
                          </w:r>
                        </w:p>
                      </w:txbxContent>
                    </v:textbox>
                  </v:rect>
                  <v:rect id="Rectangle 1953" o:spid="_x0000_s1034" style="position:absolute;left:569;top:-662;width:376;height:1514;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" filled="f" stroked="f">
                    <v:textbox inset="0,0,0,0">
                      <w:txbxContent>
                        <w:p w:rsidR="00936FBA" w:rsidRDefault="00936FBA" w:rsidP="00602CF0">
                          <w:r>
                            <w:rPr>
                              <w:rFonts w:ascii="Arial" w:eastAsia="Arial" w:hAnsi="Arial" w:cs="Arial"/>
                              <w:b/>
                              <w:sz w:val="16"/>
                            </w:rPr>
                            <w:t xml:space="preserve"> </w:t>
                          </w:r>
                        </w:p>
                      </w:txbxContent>
                    </v:textbox>
                  </v:rect>
                  <w10:wrap type="none"/>
                  <w10:anchorlock/>
                </v:group>
              </w:pict>
            </w:r>
          </w:p>
        </w:tc>
        <w:tc>
          <w:tcPr>
            <w:tcW w:w="302" w:type="dxa"/>
            <w:tcBorders>
              <w:top w:val="single" w:sz="4" w:space="0" w:color="auto"/>
              <w:left w:val="single" w:sz="4" w:space="0" w:color="auto"/>
              <w:bottom w:val="single" w:sz="4" w:space="0" w:color="auto"/>
              <w:right w:val="single" w:sz="4" w:space="0" w:color="auto"/>
            </w:tcBorders>
            <w:shd w:val="clear" w:color="auto" w:fill="D9D9D9"/>
            <w:vAlign w:val="center"/>
          </w:tcPr>
          <w:p w:rsidR="00602CF0" w:rsidRPr="005E7D14" w:rsidRDefault="00772379" w:rsidP="00486CC8">
            <w:pPr>
              <w:rPr>
                <w:rFonts w:ascii="Times New Roman" w:eastAsia="Calibri" w:hAnsi="Times New Roman"/>
              </w:rPr>
            </w:pPr>
            <w:r w:rsidRPr="00772379">
              <w:rPr>
                <w:rFonts w:ascii="Times New Roman" w:eastAsia="Calibri" w:hAnsi="Times New Roman"/>
                <w:noProof/>
                <w:kern w:val="0"/>
                <w:lang w:eastAsia="de-DE"/>
              </w:rPr>
            </w:r>
            <w:r w:rsidRPr="00772379">
              <w:rPr>
                <w:rFonts w:ascii="Times New Roman" w:eastAsia="Calibri" w:hAnsi="Times New Roman"/>
                <w:noProof/>
                <w:kern w:val="0"/>
                <w:lang w:eastAsia="de-DE"/>
              </w:rPr>
              <w:pict>
                <v:group id="Group 169758" o:spid="_x0000_s1035" style="width:8.95pt;height:40.5pt;mso-position-horizontal-relative:char;mso-position-vertical-relative:line" coordsize="113850,514542">
                  <v:rect id="Rectangle 1956" o:spid="_x0000_s1036" style="position:absolute;left:-247705;top:115415;width:646834;height:151421;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" filled="f" stroked="f">
                    <v:textbox inset="0,0,0,0">
                      <w:txbxContent>
                        <w:p w:rsidR="00936FBA" w:rsidRPr="005E7D14" w:rsidRDefault="00936FBA" w:rsidP="00602CF0">
                          <w:r w:rsidRPr="005E7D14">
                            <w:rPr>
                              <w:rFonts w:eastAsia="Arial"/>
                              <w:b/>
                              <w:sz w:val="20"/>
                              <w:szCs w:val="20"/>
                            </w:rPr>
                            <w:t>Residents</w:t>
                          </w:r>
                        </w:p>
                      </w:txbxContent>
                    </v:textbox>
                  </v:rect>
                  <v:rect id="Rectangle 1957" o:spid="_x0000_s1037" style="position:absolute;left:56834;top:-66200;width:37753;height:151421;rotation:-589823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" filled="f" stroked="f">
                    <v:textbox inset="0,0,0,0">
                      <w:txbxContent>
                        <w:p w:rsidR="00936FBA" w:rsidRPr="005E7D14" w:rsidRDefault="00936FBA" w:rsidP="00602CF0">
                          <w:r w:rsidRPr="005E7D14">
                            <w:rPr>
                              <w:rFonts w:eastAsia="Arial"/>
                              <w:b/>
                              <w:sz w:val="16"/>
                            </w:rPr>
                            <w:t xml:space="preserve"> </w:t>
                          </w:r>
                        </w:p>
                      </w:txbxContent>
                    </v:textbox>
                  </v:rect>
                  <w10:wrap type="none"/>
                  <w10:anchorlock/>
                </v:group>
              </w:pict>
            </w:r>
          </w:p>
        </w:tc>
      </w:tr>
      <w:tr w:rsidR="00602CF0" w:rsidRPr="00602CF0" w:rsidTr="00ED3E70">
        <w:trPr>
          <w:trHeight w:val="2126"/>
        </w:trPr>
        <w:tc>
          <w:tcPr>
            <w:tcW w:w="461"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color w:val="000000"/>
                <w:sz w:val="16"/>
                <w:lang w:val="en-IE"/>
              </w:rPr>
              <w:t xml:space="preserve">007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color w:val="000000"/>
                <w:sz w:val="16"/>
                <w:lang w:val="en-IE"/>
              </w:rPr>
              <w:t xml:space="preserve"> </w:t>
            </w:r>
          </w:p>
        </w:tc>
        <w:tc>
          <w:tcPr>
            <w:tcW w:w="1176" w:type="dxa"/>
            <w:tcBorders>
              <w:top w:val="single" w:sz="4" w:space="0" w:color="000000"/>
              <w:left w:val="single" w:sz="4" w:space="0" w:color="000000"/>
              <w:bottom w:val="single" w:sz="4" w:space="0" w:color="000000"/>
              <w:right w:val="single" w:sz="4" w:space="0" w:color="000000"/>
            </w:tcBorders>
          </w:tcPr>
          <w:p w:rsidR="00602CF0" w:rsidRPr="00B7670B" w:rsidRDefault="00492900" w:rsidP="00602CF0">
            <w:pPr>
              <w:ind w:left="5"/>
              <w:rPr>
                <w:rFonts w:ascii="Times New Roman" w:eastAsia="Calibri" w:hAnsi="Times New Roman"/>
                <w:color w:val="000000"/>
                <w:lang w:val="en-IE"/>
              </w:rPr>
            </w:pPr>
            <w:r w:rsidRPr="00B7670B">
              <w:rPr>
                <w:rFonts w:ascii="Times New Roman" w:eastAsia="Arial" w:hAnsi="Times New Roman"/>
                <w:color w:val="000000"/>
                <w:sz w:val="16"/>
                <w:lang w:val="en-GB"/>
              </w:rPr>
              <w:t>Winter soft wheat</w:t>
            </w:r>
          </w:p>
          <w:p w:rsidR="00602CF0" w:rsidRPr="00B7670B" w:rsidRDefault="00602CF0" w:rsidP="00602CF0">
            <w:pPr>
              <w:ind w:left="5"/>
              <w:jc w:val="both"/>
              <w:rPr>
                <w:rFonts w:ascii="Times New Roman" w:eastAsia="Calibri" w:hAnsi="Times New Roman"/>
                <w:color w:val="000000"/>
                <w:lang w:val="en-IE"/>
              </w:rPr>
            </w:pPr>
            <w:r w:rsidRPr="00B7670B">
              <w:rPr>
                <w:rFonts w:ascii="Times New Roman" w:eastAsia="Arial" w:hAnsi="Times New Roman"/>
                <w:color w:val="000000"/>
                <w:sz w:val="16"/>
                <w:lang w:val="en-IE"/>
              </w:rPr>
              <w:t xml:space="preserve">(BBCH </w:t>
            </w:r>
            <w:r w:rsidR="00492900" w:rsidRPr="00B7670B">
              <w:rPr>
                <w:rFonts w:ascii="Times New Roman" w:eastAsia="Arial" w:hAnsi="Times New Roman"/>
                <w:color w:val="000000"/>
                <w:sz w:val="16"/>
                <w:lang w:val="en-IE"/>
              </w:rPr>
              <w:t xml:space="preserve">13 - </w:t>
            </w:r>
            <w:r w:rsidRPr="00B7670B">
              <w:rPr>
                <w:rFonts w:ascii="Times New Roman" w:eastAsia="Arial" w:hAnsi="Times New Roman"/>
                <w:color w:val="000000"/>
                <w:sz w:val="16"/>
                <w:lang w:val="en-IE"/>
              </w:rPr>
              <w:t>3</w:t>
            </w:r>
            <w:r w:rsidR="00492900" w:rsidRPr="00B7670B">
              <w:rPr>
                <w:rFonts w:ascii="Times New Roman" w:eastAsia="Arial" w:hAnsi="Times New Roman"/>
                <w:color w:val="000000"/>
                <w:sz w:val="16"/>
                <w:lang w:val="en-IE"/>
              </w:rPr>
              <w:t>0</w:t>
            </w:r>
            <w:r w:rsidRPr="00B7670B">
              <w:rPr>
                <w:rFonts w:ascii="Times New Roman" w:eastAsia="Arial" w:hAnsi="Times New Roman"/>
                <w:color w:val="000000"/>
                <w:sz w:val="16"/>
                <w:lang w:val="en-IE"/>
              </w:rPr>
              <w:t xml:space="preserve">) </w:t>
            </w:r>
          </w:p>
        </w:tc>
        <w:tc>
          <w:tcPr>
            <w:tcW w:w="434"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right="51"/>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F </w:t>
            </w:r>
          </w:p>
        </w:tc>
        <w:tc>
          <w:tcPr>
            <w:tcW w:w="1073"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right="58"/>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Spraying, </w:t>
            </w:r>
          </w:p>
          <w:p w:rsidR="00602CF0" w:rsidRPr="00B7670B" w:rsidRDefault="00602CF0" w:rsidP="00602CF0">
            <w:pPr>
              <w:ind w:right="53"/>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LCTM </w:t>
            </w:r>
          </w:p>
        </w:tc>
        <w:tc>
          <w:tcPr>
            <w:tcW w:w="1102"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right="55"/>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1 ; 1 </w:t>
            </w:r>
          </w:p>
        </w:tc>
        <w:tc>
          <w:tcPr>
            <w:tcW w:w="1371" w:type="dxa"/>
            <w:tcBorders>
              <w:top w:val="single" w:sz="4" w:space="0" w:color="000000"/>
              <w:left w:val="single" w:sz="4" w:space="0" w:color="000000"/>
              <w:bottom w:val="single" w:sz="4" w:space="0" w:color="000000"/>
              <w:right w:val="single" w:sz="4" w:space="0" w:color="000000"/>
            </w:tcBorders>
          </w:tcPr>
          <w:p w:rsidR="00602CF0" w:rsidRPr="00B7670B" w:rsidRDefault="00602CF0" w:rsidP="00BB3B98">
            <w:pPr>
              <w:numPr>
                <w:ilvl w:val="0"/>
                <w:numId w:val="14"/>
              </w:numPr>
              <w:ind w:right="52"/>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3 </w:t>
            </w:r>
          </w:p>
          <w:p w:rsidR="00602CF0" w:rsidRPr="00B7670B" w:rsidRDefault="00602CF0" w:rsidP="00BB3B98">
            <w:pPr>
              <w:numPr>
                <w:ilvl w:val="0"/>
                <w:numId w:val="14"/>
              </w:numPr>
              <w:ind w:right="52"/>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15 </w:t>
            </w:r>
          </w:p>
          <w:p w:rsidR="00602CF0" w:rsidRPr="00B7670B" w:rsidRDefault="00602CF0" w:rsidP="00BB3B98">
            <w:pPr>
              <w:numPr>
                <w:ilvl w:val="0"/>
                <w:numId w:val="14"/>
              </w:numPr>
              <w:ind w:right="52"/>
              <w:jc w:val="center"/>
              <w:rPr>
                <w:rFonts w:ascii="Times New Roman" w:eastAsia="Calibri" w:hAnsi="Times New Roman"/>
                <w:color w:val="000000"/>
                <w:lang w:val="en-IE"/>
              </w:rPr>
            </w:pPr>
            <w:r w:rsidRPr="00B7670B">
              <w:rPr>
                <w:rFonts w:ascii="Times New Roman" w:eastAsia="Arial" w:hAnsi="Times New Roman"/>
                <w:color w:val="000000"/>
                <w:sz w:val="16"/>
                <w:lang w:val="en-IE"/>
              </w:rPr>
              <w:t xml:space="preserve">45 </w:t>
            </w:r>
          </w:p>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color w:val="000000"/>
                <w:sz w:val="16"/>
                <w:lang w:val="en-IE"/>
              </w:rPr>
              <w:t xml:space="preserve"> </w:t>
            </w:r>
          </w:p>
        </w:tc>
        <w:tc>
          <w:tcPr>
            <w:tcW w:w="761" w:type="dxa"/>
            <w:tcBorders>
              <w:top w:val="single" w:sz="4" w:space="0" w:color="000000"/>
              <w:left w:val="single" w:sz="4" w:space="0" w:color="000000"/>
              <w:bottom w:val="single" w:sz="4" w:space="0" w:color="000000"/>
              <w:right w:val="single" w:sz="4" w:space="0" w:color="000000"/>
            </w:tcBorders>
          </w:tcPr>
          <w:p w:rsidR="00602CF0" w:rsidRPr="00B7670B" w:rsidRDefault="00C3534E" w:rsidP="00602CF0">
            <w:pPr>
              <w:ind w:left="8" w:right="21"/>
              <w:jc w:val="center"/>
              <w:rPr>
                <w:rFonts w:ascii="Times New Roman" w:eastAsia="Calibri" w:hAnsi="Times New Roman"/>
                <w:color w:val="000000"/>
                <w:lang w:val="en-IE"/>
              </w:rPr>
            </w:pPr>
            <w:r w:rsidRPr="00B7670B">
              <w:rPr>
                <w:rFonts w:ascii="Times New Roman" w:eastAsia="Arial" w:hAnsi="Times New Roman"/>
                <w:color w:val="000000"/>
                <w:sz w:val="16"/>
                <w:lang w:val="en-IE"/>
              </w:rPr>
              <w:t>200</w:t>
            </w:r>
            <w:r w:rsidR="00602CF0" w:rsidRPr="00B7670B">
              <w:rPr>
                <w:rFonts w:ascii="Times New Roman" w:eastAsia="Arial" w:hAnsi="Times New Roman"/>
                <w:color w:val="000000"/>
                <w:sz w:val="16"/>
                <w:lang w:val="en-IE"/>
              </w:rPr>
              <w:t xml:space="preserve"> - 400 </w:t>
            </w:r>
          </w:p>
        </w:tc>
        <w:tc>
          <w:tcPr>
            <w:tcW w:w="439" w:type="dxa"/>
            <w:tcBorders>
              <w:top w:val="single" w:sz="4" w:space="0" w:color="000000"/>
              <w:left w:val="single" w:sz="4" w:space="0" w:color="000000"/>
              <w:bottom w:val="single" w:sz="4" w:space="0" w:color="000000"/>
              <w:right w:val="single" w:sz="4" w:space="0" w:color="000000"/>
            </w:tcBorders>
          </w:tcPr>
          <w:p w:rsidR="00602CF0" w:rsidRPr="00B7670B" w:rsidRDefault="00602CF0" w:rsidP="00602CF0">
            <w:pPr>
              <w:ind w:left="2" w:right="147" w:firstLine="137"/>
              <w:rPr>
                <w:rFonts w:ascii="Times New Roman" w:eastAsia="Calibri" w:hAnsi="Times New Roman"/>
                <w:color w:val="000000"/>
                <w:lang w:val="en-IE"/>
              </w:rPr>
            </w:pPr>
            <w:r w:rsidRPr="00B7670B">
              <w:rPr>
                <w:rFonts w:ascii="Times New Roman" w:eastAsia="Arial" w:hAnsi="Times New Roman"/>
                <w:color w:val="000000"/>
                <w:sz w:val="16"/>
                <w:lang w:val="en-IE"/>
              </w:rPr>
              <w:t xml:space="preserve">-  </w:t>
            </w:r>
          </w:p>
        </w:tc>
        <w:tc>
          <w:tcPr>
            <w:tcW w:w="1443" w:type="dxa"/>
            <w:tcBorders>
              <w:top w:val="single" w:sz="4" w:space="0" w:color="000000"/>
              <w:left w:val="single" w:sz="4" w:space="0" w:color="000000"/>
              <w:bottom w:val="single" w:sz="4" w:space="0" w:color="000000"/>
              <w:right w:val="single" w:sz="4" w:space="0" w:color="000000"/>
            </w:tcBorders>
          </w:tcPr>
          <w:p w:rsidR="00602CF0" w:rsidRPr="00B7670B" w:rsidRDefault="004E72A5" w:rsidP="004E72A5">
            <w:pPr>
              <w:ind w:right="58"/>
              <w:rPr>
                <w:rFonts w:ascii="Times New Roman" w:eastAsia="Calibri" w:hAnsi="Times New Roman"/>
                <w:i/>
                <w:iCs/>
                <w:color w:val="000000"/>
                <w:lang w:val="en-IE"/>
              </w:rPr>
            </w:pPr>
            <w:r w:rsidRPr="00B7670B">
              <w:rPr>
                <w:rFonts w:ascii="Times New Roman" w:eastAsia="Arial" w:hAnsi="Times New Roman"/>
                <w:i/>
                <w:iCs/>
                <w:color w:val="000000"/>
                <w:sz w:val="16"/>
                <w:lang w:val="en-IE"/>
              </w:rPr>
              <w:t>Critical GAP for operator, worker and resident/bystander exposure based on EFSA Journal 2022;20(1):7032</w:t>
            </w:r>
          </w:p>
        </w:tc>
        <w:tc>
          <w:tcPr>
            <w:tcW w:w="302" w:type="dxa"/>
            <w:tcBorders>
              <w:top w:val="single" w:sz="4" w:space="0" w:color="auto"/>
              <w:left w:val="single" w:sz="4" w:space="0" w:color="000000"/>
              <w:bottom w:val="single" w:sz="4" w:space="0" w:color="000000"/>
              <w:right w:val="single" w:sz="4" w:space="0" w:color="000000"/>
            </w:tcBorders>
            <w:shd w:val="clear" w:color="auto" w:fill="92D050"/>
          </w:tcPr>
          <w:p w:rsidR="00602CF0" w:rsidRPr="00B7670B" w:rsidRDefault="00602CF0" w:rsidP="00602CF0">
            <w:pPr>
              <w:rPr>
                <w:rFonts w:ascii="Times New Roman" w:eastAsia="Calibri" w:hAnsi="Times New Roman"/>
                <w:color w:val="000000"/>
                <w:lang w:val="en-IE"/>
              </w:rPr>
            </w:pPr>
            <w:r w:rsidRPr="00B7670B">
              <w:rPr>
                <w:rFonts w:ascii="Times New Roman" w:eastAsia="Arial" w:hAnsi="Times New Roman"/>
                <w:color w:val="FFFF00"/>
                <w:sz w:val="16"/>
                <w:lang w:val="en-IE"/>
              </w:rPr>
              <w:t xml:space="preserve"> </w:t>
            </w:r>
          </w:p>
        </w:tc>
        <w:tc>
          <w:tcPr>
            <w:tcW w:w="305" w:type="dxa"/>
            <w:tcBorders>
              <w:top w:val="single" w:sz="4" w:space="0" w:color="auto"/>
              <w:left w:val="single" w:sz="4" w:space="0" w:color="000000"/>
              <w:bottom w:val="single" w:sz="4" w:space="0" w:color="000000"/>
              <w:right w:val="single" w:sz="4" w:space="0" w:color="000000"/>
            </w:tcBorders>
            <w:shd w:val="clear" w:color="auto" w:fill="92D050"/>
          </w:tcPr>
          <w:p w:rsidR="00602CF0" w:rsidRPr="00B7670B" w:rsidRDefault="00602CF0" w:rsidP="00602CF0">
            <w:pPr>
              <w:ind w:left="2"/>
              <w:rPr>
                <w:rFonts w:ascii="Times New Roman" w:eastAsia="Calibri" w:hAnsi="Times New Roman"/>
                <w:color w:val="000000"/>
                <w:lang w:val="en-IE"/>
              </w:rPr>
            </w:pPr>
            <w:r w:rsidRPr="00B7670B">
              <w:rPr>
                <w:rFonts w:ascii="Times New Roman" w:eastAsia="Arial" w:hAnsi="Times New Roman"/>
                <w:color w:val="000000"/>
                <w:sz w:val="16"/>
                <w:lang w:val="en-IE"/>
              </w:rPr>
              <w:t xml:space="preserve"> </w:t>
            </w:r>
          </w:p>
        </w:tc>
        <w:tc>
          <w:tcPr>
            <w:tcW w:w="305" w:type="dxa"/>
            <w:tcBorders>
              <w:top w:val="single" w:sz="4" w:space="0" w:color="auto"/>
              <w:left w:val="single" w:sz="4" w:space="0" w:color="000000"/>
              <w:bottom w:val="single" w:sz="4" w:space="0" w:color="000000"/>
              <w:right w:val="single" w:sz="4" w:space="0" w:color="000000"/>
            </w:tcBorders>
            <w:shd w:val="clear" w:color="auto" w:fill="92D050"/>
          </w:tcPr>
          <w:p w:rsidR="00602CF0" w:rsidRPr="00B7670B" w:rsidRDefault="00602CF0" w:rsidP="00486CC8">
            <w:pPr>
              <w:rPr>
                <w:rFonts w:ascii="Times New Roman" w:eastAsia="Calibri" w:hAnsi="Times New Roman"/>
              </w:rPr>
            </w:pPr>
            <w:r w:rsidRPr="00B7670B">
              <w:rPr>
                <w:rFonts w:ascii="Times New Roman" w:eastAsia="Arial" w:hAnsi="Times New Roman"/>
              </w:rPr>
              <w:t xml:space="preserve"> </w:t>
            </w:r>
          </w:p>
        </w:tc>
        <w:tc>
          <w:tcPr>
            <w:tcW w:w="302" w:type="dxa"/>
            <w:tcBorders>
              <w:top w:val="single" w:sz="4" w:space="0" w:color="auto"/>
              <w:left w:val="single" w:sz="4" w:space="0" w:color="000000"/>
              <w:bottom w:val="single" w:sz="4" w:space="0" w:color="000000"/>
              <w:right w:val="single" w:sz="4" w:space="0" w:color="000000"/>
            </w:tcBorders>
            <w:shd w:val="clear" w:color="auto" w:fill="92D050"/>
          </w:tcPr>
          <w:p w:rsidR="00602CF0" w:rsidRPr="00B7670B" w:rsidRDefault="00602CF0" w:rsidP="00486CC8">
            <w:pPr>
              <w:rPr>
                <w:rFonts w:ascii="Times New Roman" w:eastAsia="Calibri" w:hAnsi="Times New Roman"/>
              </w:rPr>
            </w:pPr>
            <w:r w:rsidRPr="00B7670B">
              <w:rPr>
                <w:rFonts w:ascii="Times New Roman" w:eastAsia="Arial" w:hAnsi="Times New Roman"/>
              </w:rPr>
              <w:t xml:space="preserve"> </w:t>
            </w:r>
          </w:p>
        </w:tc>
      </w:tr>
    </w:tbl>
    <w:p w:rsidR="00602CF0" w:rsidRPr="00602CF0" w:rsidRDefault="00602CF0" w:rsidP="00602CF0">
      <w:pPr>
        <w:tabs>
          <w:tab w:val="center" w:pos="4473"/>
        </w:tabs>
        <w:spacing w:after="5" w:line="248" w:lineRule="auto"/>
        <w:ind w:left="-8"/>
        <w:rPr>
          <w:rFonts w:ascii="Calibri" w:eastAsia="Calibri" w:hAnsi="Calibri" w:cs="Calibri"/>
          <w:color w:val="000000"/>
          <w:kern w:val="2"/>
          <w:lang w:val="en-IE" w:eastAsia="en-IE"/>
        </w:rPr>
      </w:pPr>
      <w:r w:rsidRPr="00602CF0">
        <w:rPr>
          <w:color w:val="000000"/>
          <w:kern w:val="2"/>
          <w:sz w:val="18"/>
          <w:lang w:val="en-IE" w:eastAsia="en-IE"/>
        </w:rPr>
        <w:t xml:space="preserve">*  </w:t>
      </w:r>
      <w:r w:rsidRPr="00602CF0">
        <w:rPr>
          <w:color w:val="000000"/>
          <w:kern w:val="2"/>
          <w:sz w:val="18"/>
          <w:lang w:val="en-IE" w:eastAsia="en-IE"/>
        </w:rPr>
        <w:tab/>
        <w:t xml:space="preserve">Use number(s) in accordance with the list of all intended GAPs in Part B, Section 0 should be given in column 1  </w:t>
      </w:r>
    </w:p>
    <w:p w:rsidR="00602CF0" w:rsidRPr="00602CF0" w:rsidRDefault="00602CF0" w:rsidP="00602CF0">
      <w:pPr>
        <w:spacing w:after="5" w:line="248" w:lineRule="auto"/>
        <w:ind w:left="417" w:right="201" w:hanging="425"/>
        <w:jc w:val="both"/>
        <w:rPr>
          <w:rFonts w:ascii="Calibri" w:eastAsia="Calibri" w:hAnsi="Calibri" w:cs="Calibri"/>
          <w:color w:val="000000"/>
          <w:kern w:val="2"/>
          <w:lang w:val="en-IE" w:eastAsia="en-IE"/>
        </w:rPr>
      </w:pPr>
      <w:r w:rsidRPr="00602CF0">
        <w:rPr>
          <w:color w:val="000000"/>
          <w:kern w:val="2"/>
          <w:sz w:val="18"/>
          <w:lang w:val="en-IE" w:eastAsia="en-IE"/>
        </w:rPr>
        <w:t xml:space="preserve">**  F: professional field use, Fn: non-professional field use, </w:t>
      </w:r>
      <w:proofErr w:type="spellStart"/>
      <w:r w:rsidRPr="00602CF0">
        <w:rPr>
          <w:color w:val="000000"/>
          <w:kern w:val="2"/>
          <w:sz w:val="18"/>
          <w:lang w:val="en-IE" w:eastAsia="en-IE"/>
        </w:rPr>
        <w:t>Fpn</w:t>
      </w:r>
      <w:proofErr w:type="spellEnd"/>
      <w:r w:rsidRPr="00602CF0">
        <w:rPr>
          <w:color w:val="000000"/>
          <w:kern w:val="2"/>
          <w:sz w:val="18"/>
          <w:lang w:val="en-IE" w:eastAsia="en-IE"/>
        </w:rPr>
        <w:t xml:space="preserve">: professional and non-professional field use, G: professional greenhouse use, </w:t>
      </w:r>
      <w:proofErr w:type="spellStart"/>
      <w:r w:rsidRPr="00602CF0">
        <w:rPr>
          <w:color w:val="000000"/>
          <w:kern w:val="2"/>
          <w:sz w:val="18"/>
          <w:lang w:val="en-IE" w:eastAsia="en-IE"/>
        </w:rPr>
        <w:t>Gn</w:t>
      </w:r>
      <w:proofErr w:type="spellEnd"/>
      <w:r w:rsidRPr="00602CF0">
        <w:rPr>
          <w:color w:val="000000"/>
          <w:kern w:val="2"/>
          <w:sz w:val="18"/>
          <w:lang w:val="en-IE" w:eastAsia="en-IE"/>
        </w:rPr>
        <w:t xml:space="preserve">: non-professional greenhouse use, </w:t>
      </w:r>
      <w:proofErr w:type="spellStart"/>
      <w:r w:rsidRPr="00602CF0">
        <w:rPr>
          <w:color w:val="000000"/>
          <w:kern w:val="2"/>
          <w:sz w:val="18"/>
          <w:lang w:val="en-IE" w:eastAsia="en-IE"/>
        </w:rPr>
        <w:t>Gpn</w:t>
      </w:r>
      <w:proofErr w:type="spellEnd"/>
      <w:r w:rsidRPr="00602CF0">
        <w:rPr>
          <w:color w:val="000000"/>
          <w:kern w:val="2"/>
          <w:sz w:val="18"/>
          <w:lang w:val="en-IE" w:eastAsia="en-IE"/>
        </w:rPr>
        <w:t xml:space="preserve">: professional and non-professional greenhouse use, I: indoor application </w:t>
      </w:r>
    </w:p>
    <w:p w:rsidR="00602CF0" w:rsidRPr="00602CF0" w:rsidRDefault="00602CF0" w:rsidP="00602CF0">
      <w:pPr>
        <w:spacing w:after="26" w:line="248" w:lineRule="auto"/>
        <w:ind w:left="2" w:right="2" w:hanging="10"/>
        <w:jc w:val="both"/>
        <w:rPr>
          <w:rFonts w:ascii="Calibri" w:eastAsia="Calibri" w:hAnsi="Calibri" w:cs="Calibri"/>
          <w:color w:val="000000"/>
          <w:kern w:val="2"/>
          <w:lang w:val="en-IE" w:eastAsia="en-IE"/>
        </w:rPr>
      </w:pPr>
      <w:r w:rsidRPr="00602CF0">
        <w:rPr>
          <w:color w:val="000000"/>
          <w:kern w:val="2"/>
          <w:sz w:val="18"/>
          <w:lang w:val="en-IE" w:eastAsia="en-IE"/>
        </w:rPr>
        <w:t xml:space="preserve">*** e.g. LC: low crops, HC: high crop, TM: tractor-mounted, HH: hand-held </w:t>
      </w:r>
    </w:p>
    <w:p w:rsidR="00602CF0" w:rsidRPr="00602CF0" w:rsidRDefault="00602CF0" w:rsidP="00602CF0">
      <w:pPr>
        <w:spacing w:line="259" w:lineRule="auto"/>
        <w:rPr>
          <w:rFonts w:ascii="Calibri" w:eastAsia="Calibri" w:hAnsi="Calibri" w:cs="Calibri"/>
          <w:color w:val="000000"/>
          <w:kern w:val="2"/>
          <w:lang w:val="en-IE" w:eastAsia="en-IE"/>
        </w:rPr>
      </w:pPr>
      <w:r w:rsidRPr="00602CF0">
        <w:rPr>
          <w:color w:val="000000"/>
          <w:kern w:val="2"/>
          <w:lang w:val="en-IE" w:eastAsia="en-IE"/>
        </w:rPr>
        <w:t xml:space="preserve"> </w:t>
      </w:r>
    </w:p>
    <w:p w:rsidR="00602CF0" w:rsidRPr="00602CF0" w:rsidRDefault="00602CF0" w:rsidP="00602CF0">
      <w:pPr>
        <w:spacing w:after="5" w:line="248" w:lineRule="auto"/>
        <w:ind w:left="2" w:right="2" w:hanging="10"/>
        <w:jc w:val="both"/>
        <w:rPr>
          <w:rFonts w:ascii="Calibri" w:eastAsia="Calibri" w:hAnsi="Calibri" w:cs="Calibri"/>
          <w:color w:val="000000"/>
          <w:kern w:val="2"/>
          <w:lang w:val="en-IE" w:eastAsia="en-IE"/>
        </w:rPr>
      </w:pPr>
      <w:r w:rsidRPr="00602CF0">
        <w:rPr>
          <w:color w:val="000000"/>
          <w:kern w:val="2"/>
          <w:sz w:val="18"/>
          <w:lang w:val="en-IE" w:eastAsia="en-IE"/>
        </w:rPr>
        <w:t xml:space="preserve">Explanation for column 10 “Acceptability of exposure assessment” </w:t>
      </w:r>
    </w:p>
    <w:tbl>
      <w:tblPr>
        <w:tblStyle w:val="TableGrid1"/>
        <w:tblW w:w="9588" w:type="dxa"/>
        <w:tblInd w:w="-113" w:type="dxa"/>
        <w:tblCellMar>
          <w:top w:w="6" w:type="dxa"/>
          <w:left w:w="113" w:type="dxa"/>
          <w:right w:w="115" w:type="dxa"/>
        </w:tblCellMar>
        <w:tblLook w:val="04A0"/>
      </w:tblPr>
      <w:tblGrid>
        <w:gridCol w:w="739"/>
        <w:gridCol w:w="8849"/>
      </w:tblGrid>
      <w:tr w:rsidR="00602CF0" w:rsidRPr="00602CF0" w:rsidTr="001D131F">
        <w:trPr>
          <w:trHeight w:val="248"/>
        </w:trPr>
        <w:tc>
          <w:tcPr>
            <w:tcW w:w="739" w:type="dxa"/>
            <w:tcBorders>
              <w:top w:val="single" w:sz="4" w:space="0" w:color="000000"/>
              <w:left w:val="single" w:sz="4" w:space="0" w:color="000000"/>
              <w:bottom w:val="single" w:sz="4" w:space="0" w:color="000000"/>
              <w:right w:val="single" w:sz="4" w:space="0" w:color="000000"/>
            </w:tcBorders>
            <w:shd w:val="clear" w:color="auto" w:fill="99CC00"/>
          </w:tcPr>
          <w:p w:rsidR="00602CF0" w:rsidRPr="00602CF0" w:rsidRDefault="00602CF0" w:rsidP="00602CF0">
            <w:pPr>
              <w:rPr>
                <w:rFonts w:eastAsia="Calibri" w:cs="Calibri"/>
                <w:color w:val="000000"/>
                <w:lang w:val="en-IE"/>
              </w:rPr>
            </w:pPr>
            <w:r w:rsidRPr="00602CF0">
              <w:rPr>
                <w:color w:val="000000"/>
                <w:sz w:val="18"/>
                <w:lang w:val="en-IE"/>
              </w:rPr>
              <w:t xml:space="preserve">A </w:t>
            </w:r>
          </w:p>
        </w:tc>
        <w:tc>
          <w:tcPr>
            <w:tcW w:w="8848" w:type="dxa"/>
            <w:tcBorders>
              <w:top w:val="single" w:sz="4" w:space="0" w:color="000000"/>
              <w:left w:val="single" w:sz="4" w:space="0" w:color="000000"/>
              <w:bottom w:val="single" w:sz="4" w:space="0" w:color="000000"/>
              <w:right w:val="single" w:sz="4" w:space="0" w:color="000000"/>
            </w:tcBorders>
          </w:tcPr>
          <w:p w:rsidR="00602CF0" w:rsidRPr="00602CF0" w:rsidRDefault="00602CF0" w:rsidP="00602CF0">
            <w:pPr>
              <w:ind w:left="5"/>
              <w:rPr>
                <w:rFonts w:eastAsia="Calibri" w:cs="Calibri"/>
                <w:color w:val="000000"/>
                <w:lang w:val="en-IE"/>
              </w:rPr>
            </w:pPr>
            <w:r w:rsidRPr="00602CF0">
              <w:rPr>
                <w:color w:val="000000"/>
                <w:sz w:val="18"/>
                <w:lang w:val="en-IE"/>
              </w:rPr>
              <w:t xml:space="preserve">Exposure acceptable without PPE / risk mitigation measures </w:t>
            </w:r>
          </w:p>
        </w:tc>
      </w:tr>
      <w:tr w:rsidR="00602CF0" w:rsidRPr="00602CF0" w:rsidTr="001D131F">
        <w:trPr>
          <w:trHeight w:val="250"/>
        </w:trPr>
        <w:tc>
          <w:tcPr>
            <w:tcW w:w="739" w:type="dxa"/>
            <w:tcBorders>
              <w:top w:val="single" w:sz="4" w:space="0" w:color="000000"/>
              <w:left w:val="single" w:sz="4" w:space="0" w:color="000000"/>
              <w:bottom w:val="single" w:sz="4" w:space="0" w:color="000000"/>
              <w:right w:val="single" w:sz="4" w:space="0" w:color="000000"/>
            </w:tcBorders>
            <w:shd w:val="clear" w:color="auto" w:fill="FFFF00"/>
          </w:tcPr>
          <w:p w:rsidR="00602CF0" w:rsidRPr="00602CF0" w:rsidRDefault="00602CF0" w:rsidP="00602CF0">
            <w:pPr>
              <w:rPr>
                <w:rFonts w:eastAsia="Calibri" w:cs="Calibri"/>
                <w:color w:val="000000"/>
                <w:lang w:val="en-IE"/>
              </w:rPr>
            </w:pPr>
            <w:r w:rsidRPr="00602CF0">
              <w:rPr>
                <w:color w:val="000000"/>
                <w:sz w:val="18"/>
                <w:lang w:val="en-IE"/>
              </w:rPr>
              <w:t xml:space="preserve">R </w:t>
            </w:r>
          </w:p>
        </w:tc>
        <w:tc>
          <w:tcPr>
            <w:tcW w:w="8848" w:type="dxa"/>
            <w:tcBorders>
              <w:top w:val="single" w:sz="4" w:space="0" w:color="000000"/>
              <w:left w:val="single" w:sz="4" w:space="0" w:color="000000"/>
              <w:bottom w:val="single" w:sz="4" w:space="0" w:color="000000"/>
              <w:right w:val="single" w:sz="4" w:space="0" w:color="000000"/>
            </w:tcBorders>
          </w:tcPr>
          <w:p w:rsidR="00602CF0" w:rsidRPr="00602CF0" w:rsidRDefault="00602CF0" w:rsidP="00602CF0">
            <w:pPr>
              <w:ind w:left="5"/>
              <w:rPr>
                <w:rFonts w:eastAsia="Calibri" w:cs="Calibri"/>
                <w:color w:val="000000"/>
                <w:lang w:val="en-IE"/>
              </w:rPr>
            </w:pPr>
            <w:r w:rsidRPr="00602CF0">
              <w:rPr>
                <w:color w:val="000000"/>
                <w:sz w:val="18"/>
                <w:lang w:val="en-IE"/>
              </w:rPr>
              <w:t xml:space="preserve">Further refinement and/or risk mitigation measures required </w:t>
            </w:r>
          </w:p>
        </w:tc>
      </w:tr>
      <w:tr w:rsidR="00602CF0" w:rsidRPr="00602CF0" w:rsidTr="001D131F">
        <w:trPr>
          <w:trHeight w:val="249"/>
        </w:trPr>
        <w:tc>
          <w:tcPr>
            <w:tcW w:w="739" w:type="dxa"/>
            <w:tcBorders>
              <w:top w:val="single" w:sz="4" w:space="0" w:color="000000"/>
              <w:left w:val="single" w:sz="4" w:space="0" w:color="000000"/>
              <w:bottom w:val="single" w:sz="4" w:space="0" w:color="000000"/>
              <w:right w:val="single" w:sz="4" w:space="0" w:color="000000"/>
            </w:tcBorders>
            <w:shd w:val="clear" w:color="auto" w:fill="FF0000"/>
          </w:tcPr>
          <w:p w:rsidR="00602CF0" w:rsidRPr="00602CF0" w:rsidRDefault="00602CF0" w:rsidP="00602CF0">
            <w:pPr>
              <w:rPr>
                <w:rFonts w:eastAsia="Calibri" w:cs="Calibri"/>
                <w:color w:val="000000"/>
                <w:lang w:val="en-IE"/>
              </w:rPr>
            </w:pPr>
            <w:r w:rsidRPr="00602CF0">
              <w:rPr>
                <w:color w:val="000000"/>
                <w:sz w:val="18"/>
                <w:lang w:val="en-IE"/>
              </w:rPr>
              <w:t xml:space="preserve">N </w:t>
            </w:r>
          </w:p>
        </w:tc>
        <w:tc>
          <w:tcPr>
            <w:tcW w:w="8848" w:type="dxa"/>
            <w:tcBorders>
              <w:top w:val="single" w:sz="4" w:space="0" w:color="000000"/>
              <w:left w:val="single" w:sz="4" w:space="0" w:color="000000"/>
              <w:bottom w:val="single" w:sz="4" w:space="0" w:color="000000"/>
              <w:right w:val="single" w:sz="4" w:space="0" w:color="000000"/>
            </w:tcBorders>
          </w:tcPr>
          <w:p w:rsidR="00602CF0" w:rsidRPr="00602CF0" w:rsidRDefault="00602CF0" w:rsidP="00602CF0">
            <w:pPr>
              <w:ind w:left="5"/>
              <w:rPr>
                <w:rFonts w:eastAsia="Calibri" w:cs="Calibri"/>
                <w:color w:val="000000"/>
                <w:lang w:val="en-IE"/>
              </w:rPr>
            </w:pPr>
            <w:r w:rsidRPr="00602CF0">
              <w:rPr>
                <w:color w:val="000000"/>
                <w:sz w:val="18"/>
                <w:lang w:val="en-IE"/>
              </w:rPr>
              <w:t xml:space="preserve">Exposure not acceptable/ Evaluation not possible </w:t>
            </w:r>
          </w:p>
        </w:tc>
      </w:tr>
    </w:tbl>
    <w:p w:rsidR="00602CF0" w:rsidRPr="00602CF0" w:rsidRDefault="00602CF0" w:rsidP="00602CF0">
      <w:pPr>
        <w:spacing w:line="259" w:lineRule="auto"/>
        <w:rPr>
          <w:rFonts w:ascii="Calibri" w:eastAsia="Calibri" w:hAnsi="Calibri" w:cs="Calibri"/>
          <w:color w:val="000000"/>
          <w:kern w:val="2"/>
          <w:lang w:val="en-IE" w:eastAsia="en-IE"/>
        </w:rPr>
      </w:pPr>
      <w:r w:rsidRPr="00602CF0">
        <w:rPr>
          <w:color w:val="000000"/>
          <w:kern w:val="2"/>
          <w:lang w:val="en-IE" w:eastAsia="en-IE"/>
        </w:rPr>
        <w:t xml:space="preserve"> </w:t>
      </w:r>
    </w:p>
    <w:p w:rsidR="00602CF0" w:rsidRPr="00602CF0" w:rsidRDefault="00602CF0" w:rsidP="00602CF0">
      <w:pPr>
        <w:keepNext/>
        <w:keepLines/>
        <w:spacing w:after="147" w:line="248" w:lineRule="auto"/>
        <w:ind w:left="2" w:hanging="10"/>
        <w:jc w:val="both"/>
        <w:outlineLvl w:val="6"/>
        <w:rPr>
          <w:b/>
          <w:color w:val="000000"/>
          <w:kern w:val="2"/>
          <w:lang w:val="en-IE" w:eastAsia="en-IE"/>
        </w:rPr>
      </w:pPr>
      <w:r w:rsidRPr="00602CF0">
        <w:rPr>
          <w:b/>
          <w:color w:val="000000"/>
          <w:kern w:val="2"/>
          <w:lang w:val="en-IE" w:eastAsia="en-IE"/>
        </w:rPr>
        <w:lastRenderedPageBreak/>
        <w:t xml:space="preserve">Data gaps </w:t>
      </w:r>
    </w:p>
    <w:p w:rsidR="00602CF0" w:rsidRPr="00602CF0" w:rsidRDefault="00602CF0" w:rsidP="00602CF0">
      <w:pPr>
        <w:pBdr>
          <w:top w:val="single" w:sz="4" w:space="0" w:color="000000"/>
          <w:left w:val="single" w:sz="4" w:space="0" w:color="000000"/>
          <w:bottom w:val="single" w:sz="8" w:space="0" w:color="000000"/>
          <w:right w:val="single" w:sz="8" w:space="0" w:color="000000"/>
        </w:pBdr>
        <w:shd w:val="clear" w:color="auto" w:fill="D9D9D9"/>
        <w:spacing w:after="129" w:line="262" w:lineRule="auto"/>
        <w:ind w:left="-5" w:hanging="10"/>
        <w:rPr>
          <w:rFonts w:ascii="Calibri" w:eastAsia="Calibri" w:hAnsi="Calibri" w:cs="Calibri"/>
          <w:color w:val="000000"/>
          <w:kern w:val="2"/>
          <w:lang w:val="en-IE" w:eastAsia="en-IE"/>
        </w:rPr>
      </w:pPr>
      <w:r w:rsidRPr="00602CF0">
        <w:rPr>
          <w:color w:val="000000"/>
          <w:kern w:val="2"/>
          <w:lang w:val="en-IE" w:eastAsia="en-IE"/>
        </w:rPr>
        <w:t xml:space="preserve">No data gaps  </w:t>
      </w:r>
    </w:p>
    <w:p w:rsidR="00602CF0" w:rsidRPr="00602CF0" w:rsidRDefault="00602CF0" w:rsidP="00602CF0">
      <w:pPr>
        <w:spacing w:line="259" w:lineRule="auto"/>
        <w:rPr>
          <w:rFonts w:ascii="Calibri" w:eastAsia="Calibri" w:hAnsi="Calibri" w:cs="Calibri"/>
          <w:color w:val="000000"/>
          <w:kern w:val="2"/>
          <w:lang w:val="en-IE" w:eastAsia="en-IE"/>
        </w:rPr>
      </w:pPr>
      <w:r w:rsidRPr="00602CF0">
        <w:rPr>
          <w:color w:val="000000"/>
          <w:kern w:val="2"/>
          <w:lang w:val="en-IE" w:eastAsia="en-IE"/>
        </w:rPr>
        <w:t xml:space="preserve"> </w:t>
      </w:r>
    </w:p>
    <w:p w:rsidR="007D14A4" w:rsidRPr="00457A66" w:rsidRDefault="00602CF0" w:rsidP="00457A66">
      <w:pPr>
        <w:spacing w:after="10" w:line="248" w:lineRule="auto"/>
        <w:ind w:left="2" w:hanging="10"/>
        <w:rPr>
          <w:rFonts w:ascii="Calibri" w:eastAsia="Calibri" w:hAnsi="Calibri" w:cs="Calibri"/>
          <w:color w:val="000000"/>
          <w:kern w:val="2"/>
          <w:lang w:val="en-IE" w:eastAsia="en-IE"/>
        </w:rPr>
      </w:pPr>
      <w:r>
        <w:rPr>
          <w:color w:val="000000"/>
          <w:kern w:val="2"/>
          <w:lang w:val="en-IE" w:eastAsia="en-IE"/>
        </w:rPr>
        <w:t>There are no n</w:t>
      </w:r>
      <w:r w:rsidRPr="00602CF0">
        <w:rPr>
          <w:color w:val="000000"/>
          <w:kern w:val="2"/>
          <w:lang w:val="en-IE" w:eastAsia="en-IE"/>
        </w:rPr>
        <w:t>oticed data gaps</w:t>
      </w:r>
      <w:r>
        <w:rPr>
          <w:color w:val="000000"/>
          <w:kern w:val="2"/>
          <w:lang w:val="en-IE" w:eastAsia="en-IE"/>
        </w:rPr>
        <w:t xml:space="preserve">. </w:t>
      </w:r>
    </w:p>
    <w:p w:rsidR="00116140" w:rsidRDefault="00C81348" w:rsidP="00E05153">
      <w:pPr>
        <w:pStyle w:val="Nagwek2"/>
      </w:pPr>
      <w:bookmarkStart w:id="84" w:name="_Toc179811286"/>
      <w:r w:rsidRPr="00B32849">
        <w:t>Toxicological Information on Active Substance(s)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88412C" w:rsidRDefault="0088412C" w:rsidP="0088412C">
      <w:pPr>
        <w:spacing w:after="237" w:line="248" w:lineRule="auto"/>
        <w:ind w:left="2" w:hanging="10"/>
      </w:pPr>
      <w:r>
        <w:t xml:space="preserve">Information regarding classification of the active substances and on EU endpoints and critical areas of concern identified during the EU review are given in Table 6.2-1.  </w:t>
      </w:r>
    </w:p>
    <w:p w:rsidR="0088412C" w:rsidRPr="0088412C" w:rsidRDefault="0088412C" w:rsidP="0088412C">
      <w:pPr>
        <w:spacing w:after="237" w:line="248" w:lineRule="auto"/>
        <w:ind w:left="2" w:hanging="10"/>
        <w:rPr>
          <w:b/>
          <w:bCs/>
          <w:lang w:val="en-GB"/>
        </w:rPr>
      </w:pPr>
      <w:bookmarkStart w:id="85" w:name="_Ref325722487"/>
      <w:r w:rsidRPr="0088412C">
        <w:rPr>
          <w:b/>
          <w:bCs/>
          <w:lang w:val="en-GB"/>
        </w:rPr>
        <w:t>Table </w:t>
      </w:r>
      <w:r w:rsidR="00772379" w:rsidRPr="00772379">
        <w:rPr>
          <w:b/>
          <w:bCs/>
          <w:lang w:val="en-GB"/>
        </w:rPr>
        <w:fldChar w:fldCharType="begin"/>
      </w:r>
      <w:r w:rsidRPr="0088412C">
        <w:rPr>
          <w:b/>
          <w:bCs/>
          <w:lang w:val="en-GB"/>
        </w:rPr>
        <w:instrText xml:space="preserve"> STYLEREF 2 \s </w:instrText>
      </w:r>
      <w:r w:rsidR="00772379" w:rsidRPr="00772379">
        <w:rPr>
          <w:b/>
          <w:bCs/>
          <w:lang w:val="en-GB"/>
        </w:rPr>
        <w:fldChar w:fldCharType="separate"/>
      </w:r>
      <w:r w:rsidRPr="0088412C">
        <w:rPr>
          <w:b/>
          <w:bCs/>
          <w:lang w:val="en-GB"/>
        </w:rPr>
        <w:t>6.2</w:t>
      </w:r>
      <w:r w:rsidR="00772379" w:rsidRPr="0088412C">
        <w:fldChar w:fldCharType="end"/>
      </w:r>
      <w:r w:rsidRPr="0088412C">
        <w:rPr>
          <w:b/>
          <w:bCs/>
          <w:lang w:val="en-GB"/>
        </w:rPr>
        <w:noBreakHyphen/>
      </w:r>
      <w:r w:rsidR="00772379" w:rsidRPr="00772379">
        <w:rPr>
          <w:b/>
          <w:bCs/>
          <w:lang w:val="en-GB"/>
        </w:rPr>
        <w:fldChar w:fldCharType="begin"/>
      </w:r>
      <w:r w:rsidRPr="0088412C">
        <w:rPr>
          <w:b/>
          <w:bCs/>
          <w:lang w:val="en-GB"/>
        </w:rPr>
        <w:instrText xml:space="preserve"> SEQ Table \* ARABIC \s 2 </w:instrText>
      </w:r>
      <w:r w:rsidR="00772379" w:rsidRPr="00772379">
        <w:rPr>
          <w:b/>
          <w:bCs/>
          <w:lang w:val="en-GB"/>
        </w:rPr>
        <w:fldChar w:fldCharType="separate"/>
      </w:r>
      <w:r w:rsidRPr="0088412C">
        <w:rPr>
          <w:b/>
          <w:bCs/>
          <w:lang w:val="en-GB"/>
        </w:rPr>
        <w:t>1</w:t>
      </w:r>
      <w:r w:rsidR="00772379" w:rsidRPr="0088412C">
        <w:fldChar w:fldCharType="end"/>
      </w:r>
      <w:bookmarkEnd w:id="85"/>
      <w:r w:rsidRPr="0088412C">
        <w:rPr>
          <w:b/>
          <w:bCs/>
          <w:lang w:val="en-GB"/>
        </w:rPr>
        <w:t>:</w:t>
      </w:r>
      <w:r w:rsidRPr="0088412C">
        <w:rPr>
          <w:b/>
          <w:bCs/>
          <w:lang w:val="en-GB"/>
        </w:rPr>
        <w:tab/>
        <w:t>Information on active substance(s)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2184"/>
        <w:gridCol w:w="2551"/>
        <w:gridCol w:w="2552"/>
        <w:gridCol w:w="2185"/>
      </w:tblGrid>
      <w:tr w:rsidR="0088412C" w:rsidRPr="00B32849" w:rsidTr="001D131F">
        <w:trPr>
          <w:tblHeader/>
        </w:trPr>
        <w:tc>
          <w:tcPr>
            <w:tcW w:w="2184" w:type="dxa"/>
          </w:tcPr>
          <w:p w:rsidR="0088412C" w:rsidRPr="00B32849" w:rsidRDefault="0088412C" w:rsidP="001D131F">
            <w:pPr>
              <w:pStyle w:val="RepTableHeader"/>
              <w:jc w:val="center"/>
              <w:rPr>
                <w:lang w:val="en-GB"/>
              </w:rPr>
            </w:pPr>
          </w:p>
        </w:tc>
        <w:tc>
          <w:tcPr>
            <w:tcW w:w="2551" w:type="dxa"/>
          </w:tcPr>
          <w:p w:rsidR="0088412C" w:rsidRPr="00B32849" w:rsidRDefault="0088412C" w:rsidP="001D131F">
            <w:pPr>
              <w:pStyle w:val="RepTableHeader"/>
              <w:jc w:val="center"/>
              <w:rPr>
                <w:highlight w:val="yellow"/>
                <w:lang w:val="en-GB"/>
              </w:rPr>
            </w:pPr>
            <w:r w:rsidRPr="00470E0E">
              <w:rPr>
                <w:lang w:val="en-GB"/>
              </w:rPr>
              <w:t>methyl 2-[(4,6-dimethoxypyrimidin-2-ylcarbamoyl)sulfamoyl]-α-(methanesulfonamido)-p-toluate</w:t>
            </w:r>
          </w:p>
        </w:tc>
        <w:tc>
          <w:tcPr>
            <w:tcW w:w="2552" w:type="dxa"/>
            <w:shd w:val="clear" w:color="auto" w:fill="auto"/>
          </w:tcPr>
          <w:p w:rsidR="0088412C" w:rsidRPr="00F54D4D" w:rsidRDefault="0088412C" w:rsidP="001D131F">
            <w:pPr>
              <w:jc w:val="center"/>
              <w:rPr>
                <w:b/>
                <w:sz w:val="20"/>
                <w:szCs w:val="20"/>
                <w:lang w:val="en-GB"/>
              </w:rPr>
            </w:pPr>
            <w:r w:rsidRPr="00F54D4D">
              <w:rPr>
                <w:b/>
                <w:sz w:val="20"/>
                <w:szCs w:val="20"/>
                <w:lang w:val="en-GB"/>
              </w:rPr>
              <w:t>sodium ({[5-iodo-2-</w:t>
            </w:r>
          </w:p>
          <w:p w:rsidR="0088412C" w:rsidRPr="00F54D4D" w:rsidRDefault="0088412C" w:rsidP="001D131F">
            <w:pPr>
              <w:rPr>
                <w:b/>
                <w:sz w:val="20"/>
                <w:szCs w:val="20"/>
                <w:lang w:val="en-GB"/>
              </w:rPr>
            </w:pPr>
            <w:r w:rsidRPr="00F54D4D">
              <w:rPr>
                <w:b/>
                <w:sz w:val="20"/>
                <w:szCs w:val="20"/>
                <w:lang w:val="en-GB"/>
              </w:rPr>
              <w:t>(methoxycarbonyl)phenyl]sulfonyl}carbamoyl)(4-</w:t>
            </w:r>
          </w:p>
          <w:p w:rsidR="0088412C" w:rsidRPr="00B32849" w:rsidRDefault="0088412C" w:rsidP="001D131F">
            <w:pPr>
              <w:pStyle w:val="RepTableHeader"/>
              <w:jc w:val="center"/>
              <w:rPr>
                <w:highlight w:val="yellow"/>
                <w:lang w:val="en-GB"/>
              </w:rPr>
            </w:pPr>
            <w:r w:rsidRPr="00F54D4D">
              <w:rPr>
                <w:lang w:val="en-GB"/>
              </w:rPr>
              <w:t>methoxy-6-methyl-1,3,5-triazin-2-yl)</w:t>
            </w:r>
            <w:proofErr w:type="spellStart"/>
            <w:r w:rsidRPr="00F54D4D">
              <w:rPr>
                <w:lang w:val="en-GB"/>
              </w:rPr>
              <w:t>azanide</w:t>
            </w:r>
            <w:proofErr w:type="spellEnd"/>
          </w:p>
        </w:tc>
        <w:tc>
          <w:tcPr>
            <w:tcW w:w="2185" w:type="dxa"/>
          </w:tcPr>
          <w:p w:rsidR="0088412C" w:rsidRPr="00184E77" w:rsidRDefault="0088412C" w:rsidP="001D131F">
            <w:pPr>
              <w:pStyle w:val="RepTableHeader"/>
              <w:jc w:val="center"/>
              <w:rPr>
                <w:lang w:val="en-GB"/>
              </w:rPr>
            </w:pPr>
            <w:r w:rsidRPr="00184E77">
              <w:rPr>
                <w:lang w:val="en-GB"/>
              </w:rPr>
              <w:t>diethyl 1-(2,4-dichlorophenyl)-5-methyl-4,5-dihydro-1H-pyrazole-3,5-dicarboxylate</w:t>
            </w:r>
          </w:p>
        </w:tc>
      </w:tr>
      <w:tr w:rsidR="0088412C" w:rsidRPr="00B32849" w:rsidTr="001D131F">
        <w:tc>
          <w:tcPr>
            <w:tcW w:w="2184" w:type="dxa"/>
          </w:tcPr>
          <w:p w:rsidR="0088412C" w:rsidRPr="00B32849" w:rsidRDefault="0088412C" w:rsidP="001D131F">
            <w:pPr>
              <w:pStyle w:val="RepTable"/>
            </w:pPr>
            <w:r w:rsidRPr="00B32849">
              <w:t>Common Name</w:t>
            </w:r>
          </w:p>
        </w:tc>
        <w:tc>
          <w:tcPr>
            <w:tcW w:w="2551" w:type="dxa"/>
            <w:shd w:val="clear" w:color="auto" w:fill="auto"/>
          </w:tcPr>
          <w:p w:rsidR="0088412C" w:rsidRPr="00B32849" w:rsidRDefault="0088412C" w:rsidP="001D131F">
            <w:pPr>
              <w:pStyle w:val="RepTable"/>
              <w:rPr>
                <w:highlight w:val="yellow"/>
              </w:rPr>
            </w:pPr>
            <w:r w:rsidRPr="002C3AAA">
              <w:rPr>
                <w:lang w:val="en-US"/>
              </w:rPr>
              <w:t>Mesosulfuron-methyl</w:t>
            </w:r>
          </w:p>
        </w:tc>
        <w:tc>
          <w:tcPr>
            <w:tcW w:w="2552" w:type="dxa"/>
            <w:shd w:val="clear" w:color="auto" w:fill="auto"/>
          </w:tcPr>
          <w:p w:rsidR="0088412C" w:rsidRPr="00B32849" w:rsidRDefault="0088412C" w:rsidP="001D131F">
            <w:pPr>
              <w:pStyle w:val="RepTable"/>
              <w:rPr>
                <w:highlight w:val="yellow"/>
              </w:rPr>
            </w:pPr>
            <w:r w:rsidRPr="002C3AAA">
              <w:rPr>
                <w:lang w:val="en-US"/>
              </w:rPr>
              <w:t>Iodosulfuron-methyl-sodium</w:t>
            </w:r>
          </w:p>
        </w:tc>
        <w:tc>
          <w:tcPr>
            <w:tcW w:w="2185" w:type="dxa"/>
          </w:tcPr>
          <w:p w:rsidR="0088412C" w:rsidRPr="00184E77" w:rsidRDefault="0088412C" w:rsidP="001D131F">
            <w:pPr>
              <w:pStyle w:val="RepTable"/>
            </w:pPr>
            <w:r w:rsidRPr="00184E77">
              <w:rPr>
                <w:lang w:val="en-US"/>
              </w:rPr>
              <w:t>Mefenpyr-diethyl</w:t>
            </w:r>
          </w:p>
        </w:tc>
      </w:tr>
      <w:tr w:rsidR="0088412C" w:rsidRPr="00B32849" w:rsidTr="001D131F">
        <w:tc>
          <w:tcPr>
            <w:tcW w:w="2184" w:type="dxa"/>
          </w:tcPr>
          <w:p w:rsidR="0088412C" w:rsidRPr="00B32849" w:rsidRDefault="0088412C" w:rsidP="001D131F">
            <w:pPr>
              <w:pStyle w:val="RepTable"/>
            </w:pPr>
            <w:r w:rsidRPr="00B32849">
              <w:t>CAS-No.</w:t>
            </w:r>
          </w:p>
        </w:tc>
        <w:tc>
          <w:tcPr>
            <w:tcW w:w="2551" w:type="dxa"/>
            <w:shd w:val="clear" w:color="auto" w:fill="auto"/>
          </w:tcPr>
          <w:p w:rsidR="0088412C" w:rsidRPr="00B32849" w:rsidRDefault="0088412C" w:rsidP="001D131F">
            <w:pPr>
              <w:pStyle w:val="RepTable"/>
              <w:rPr>
                <w:highlight w:val="yellow"/>
              </w:rPr>
            </w:pPr>
            <w:r w:rsidRPr="002C3AAA">
              <w:rPr>
                <w:lang w:val="en-US"/>
              </w:rPr>
              <w:t>208465-21-8</w:t>
            </w:r>
          </w:p>
        </w:tc>
        <w:tc>
          <w:tcPr>
            <w:tcW w:w="2552" w:type="dxa"/>
            <w:shd w:val="clear" w:color="auto" w:fill="auto"/>
          </w:tcPr>
          <w:p w:rsidR="0088412C" w:rsidRPr="00B32849" w:rsidRDefault="0088412C" w:rsidP="001D131F">
            <w:pPr>
              <w:pStyle w:val="RepTable"/>
              <w:rPr>
                <w:highlight w:val="yellow"/>
              </w:rPr>
            </w:pPr>
            <w:r w:rsidRPr="002C3AAA">
              <w:rPr>
                <w:lang w:val="en-US"/>
              </w:rPr>
              <w:t>144550-36-7</w:t>
            </w:r>
          </w:p>
        </w:tc>
        <w:tc>
          <w:tcPr>
            <w:tcW w:w="2185" w:type="dxa"/>
          </w:tcPr>
          <w:p w:rsidR="0088412C" w:rsidRPr="00184E77" w:rsidRDefault="0088412C" w:rsidP="001D131F">
            <w:pPr>
              <w:pStyle w:val="RepTable"/>
            </w:pPr>
            <w:r w:rsidRPr="00184E77">
              <w:rPr>
                <w:lang w:val="en-US"/>
              </w:rPr>
              <w:t>135590-91-9</w:t>
            </w:r>
          </w:p>
        </w:tc>
      </w:tr>
      <w:tr w:rsidR="0088412C" w:rsidRPr="00B32849" w:rsidTr="001D131F">
        <w:tc>
          <w:tcPr>
            <w:tcW w:w="9472" w:type="dxa"/>
            <w:gridSpan w:val="4"/>
          </w:tcPr>
          <w:p w:rsidR="0088412C" w:rsidRPr="00B32849" w:rsidRDefault="0088412C" w:rsidP="001D131F">
            <w:pPr>
              <w:pStyle w:val="RepTableBold"/>
              <w:rPr>
                <w:lang w:val="en-GB"/>
              </w:rPr>
            </w:pPr>
            <w:r w:rsidRPr="00B32849">
              <w:rPr>
                <w:lang w:val="en-GB"/>
              </w:rPr>
              <w:t xml:space="preserve">Classification and proposed labelling </w:t>
            </w:r>
          </w:p>
        </w:tc>
      </w:tr>
      <w:tr w:rsidR="0088412C" w:rsidRPr="00B32849" w:rsidTr="001D131F">
        <w:tc>
          <w:tcPr>
            <w:tcW w:w="2184" w:type="dxa"/>
          </w:tcPr>
          <w:p w:rsidR="0088412C" w:rsidRPr="00B32849" w:rsidRDefault="0088412C" w:rsidP="001D131F">
            <w:pPr>
              <w:pStyle w:val="RepTable"/>
            </w:pPr>
            <w:r w:rsidRPr="00B32849">
              <w:t>With regard to toxicological endpoints (according to the criteria in Reg. 1272/2008, as amended)</w:t>
            </w:r>
          </w:p>
        </w:tc>
        <w:tc>
          <w:tcPr>
            <w:tcW w:w="2551" w:type="dxa"/>
          </w:tcPr>
          <w:p w:rsidR="0088412C" w:rsidRPr="00B32849" w:rsidRDefault="0088412C" w:rsidP="001D131F">
            <w:pPr>
              <w:pStyle w:val="RepTable"/>
            </w:pPr>
            <w:r w:rsidRPr="00B716AF">
              <w:t>None</w:t>
            </w:r>
          </w:p>
        </w:tc>
        <w:tc>
          <w:tcPr>
            <w:tcW w:w="2552" w:type="dxa"/>
          </w:tcPr>
          <w:p w:rsidR="0088412C" w:rsidRPr="00B32849" w:rsidRDefault="0088412C" w:rsidP="001D131F">
            <w:pPr>
              <w:pStyle w:val="RepTable"/>
            </w:pPr>
            <w:r w:rsidRPr="00B716AF">
              <w:t>None</w:t>
            </w:r>
          </w:p>
        </w:tc>
        <w:tc>
          <w:tcPr>
            <w:tcW w:w="2185" w:type="dxa"/>
          </w:tcPr>
          <w:p w:rsidR="0088412C" w:rsidRPr="00343AB5" w:rsidRDefault="0088412C" w:rsidP="001D131F">
            <w:pPr>
              <w:pStyle w:val="RepTable"/>
            </w:pPr>
            <w:r w:rsidRPr="00B83202">
              <w:rPr>
                <w:lang w:val="fr-FR"/>
              </w:rPr>
              <w:t>None (based on ECHA harmoni</w:t>
            </w:r>
            <w:r>
              <w:rPr>
                <w:lang w:val="fr-FR"/>
              </w:rPr>
              <w:t>s</w:t>
            </w:r>
            <w:r w:rsidRPr="00B83202">
              <w:rPr>
                <w:lang w:val="fr-FR"/>
              </w:rPr>
              <w:t>ed class</w:t>
            </w:r>
            <w:r>
              <w:rPr>
                <w:lang w:val="fr-FR"/>
              </w:rPr>
              <w:t>ification</w:t>
            </w:r>
            <w:r w:rsidRPr="00B83202">
              <w:rPr>
                <w:lang w:val="fr-FR"/>
              </w:rPr>
              <w:t>)</w:t>
            </w:r>
          </w:p>
        </w:tc>
      </w:tr>
      <w:tr w:rsidR="0088412C" w:rsidRPr="00B32849" w:rsidTr="001D131F">
        <w:tc>
          <w:tcPr>
            <w:tcW w:w="2184" w:type="dxa"/>
          </w:tcPr>
          <w:p w:rsidR="0088412C" w:rsidRPr="00B32849" w:rsidRDefault="0088412C" w:rsidP="001D131F">
            <w:pPr>
              <w:pStyle w:val="RepTable"/>
            </w:pPr>
            <w:r w:rsidRPr="00B32849">
              <w:t>Additional C&amp;L proposal</w:t>
            </w:r>
          </w:p>
        </w:tc>
        <w:tc>
          <w:tcPr>
            <w:tcW w:w="2551" w:type="dxa"/>
          </w:tcPr>
          <w:p w:rsidR="0088412C" w:rsidRPr="00B32849" w:rsidRDefault="0088412C" w:rsidP="001D131F">
            <w:pPr>
              <w:pStyle w:val="RepTable"/>
            </w:pPr>
            <w:r w:rsidRPr="00B716AF">
              <w:t>None</w:t>
            </w:r>
          </w:p>
        </w:tc>
        <w:tc>
          <w:tcPr>
            <w:tcW w:w="2552" w:type="dxa"/>
          </w:tcPr>
          <w:p w:rsidR="0088412C" w:rsidRPr="00B32849" w:rsidRDefault="0088412C" w:rsidP="001D131F">
            <w:pPr>
              <w:pStyle w:val="RepTable"/>
            </w:pPr>
            <w:r w:rsidRPr="00B716AF">
              <w:t>None</w:t>
            </w:r>
          </w:p>
        </w:tc>
        <w:tc>
          <w:tcPr>
            <w:tcW w:w="2185" w:type="dxa"/>
          </w:tcPr>
          <w:p w:rsidR="0088412C" w:rsidRPr="00343AB5" w:rsidRDefault="0088412C" w:rsidP="001D131F">
            <w:pPr>
              <w:pStyle w:val="RepTable"/>
            </w:pPr>
            <w:r w:rsidRPr="00343AB5">
              <w:t>None</w:t>
            </w:r>
          </w:p>
        </w:tc>
      </w:tr>
      <w:tr w:rsidR="0088412C" w:rsidRPr="00B32849" w:rsidTr="001D131F">
        <w:tc>
          <w:tcPr>
            <w:tcW w:w="7287" w:type="dxa"/>
            <w:gridSpan w:val="3"/>
          </w:tcPr>
          <w:p w:rsidR="0088412C" w:rsidRPr="00B32849" w:rsidRDefault="0088412C" w:rsidP="001D131F">
            <w:pPr>
              <w:pStyle w:val="RepTableBold"/>
              <w:rPr>
                <w:highlight w:val="yellow"/>
                <w:lang w:val="en-GB"/>
              </w:rPr>
            </w:pPr>
            <w:r w:rsidRPr="00B32849">
              <w:rPr>
                <w:lang w:val="en-GB"/>
              </w:rPr>
              <w:t>Agreed EU endpoints</w:t>
            </w:r>
          </w:p>
        </w:tc>
        <w:tc>
          <w:tcPr>
            <w:tcW w:w="2185" w:type="dxa"/>
          </w:tcPr>
          <w:p w:rsidR="0088412C" w:rsidRPr="00B32849" w:rsidRDefault="0088412C" w:rsidP="001D131F">
            <w:pPr>
              <w:pStyle w:val="RepTableBold"/>
              <w:rPr>
                <w:lang w:val="en-GB"/>
              </w:rPr>
            </w:pPr>
          </w:p>
        </w:tc>
      </w:tr>
      <w:tr w:rsidR="0088412C" w:rsidRPr="00B32849" w:rsidTr="001D131F">
        <w:tc>
          <w:tcPr>
            <w:tcW w:w="2184" w:type="dxa"/>
          </w:tcPr>
          <w:p w:rsidR="0088412C" w:rsidRPr="00B32849" w:rsidRDefault="0088412C" w:rsidP="001D131F">
            <w:pPr>
              <w:pStyle w:val="RepTable"/>
            </w:pPr>
            <w:r w:rsidRPr="00B32849">
              <w:t>AOEL systemic</w:t>
            </w:r>
          </w:p>
        </w:tc>
        <w:tc>
          <w:tcPr>
            <w:tcW w:w="2551" w:type="dxa"/>
            <w:shd w:val="clear" w:color="auto" w:fill="auto"/>
          </w:tcPr>
          <w:p w:rsidR="0088412C" w:rsidRPr="00475EEA" w:rsidRDefault="0088412C" w:rsidP="001D131F">
            <w:pPr>
              <w:pStyle w:val="RepTable"/>
            </w:pPr>
            <w:r w:rsidRPr="00475EEA">
              <w:t xml:space="preserve">0.13 mg/kg bw/d (corrected for </w:t>
            </w:r>
            <w:r>
              <w:t>2</w:t>
            </w:r>
            <w:r w:rsidRPr="00475EEA">
              <w:t xml:space="preserve"> % oral absorption)</w:t>
            </w:r>
          </w:p>
        </w:tc>
        <w:tc>
          <w:tcPr>
            <w:tcW w:w="2552" w:type="dxa"/>
            <w:shd w:val="clear" w:color="auto" w:fill="auto"/>
          </w:tcPr>
          <w:p w:rsidR="0088412C" w:rsidRPr="00475EEA" w:rsidRDefault="0088412C" w:rsidP="001D131F">
            <w:pPr>
              <w:pStyle w:val="RepTable"/>
            </w:pPr>
            <w:r w:rsidRPr="00475EEA">
              <w:t>0.05 mg/kg bw/d (corrected for 70 % oral absorption)</w:t>
            </w:r>
          </w:p>
        </w:tc>
        <w:tc>
          <w:tcPr>
            <w:tcW w:w="2185" w:type="dxa"/>
            <w:shd w:val="clear" w:color="auto" w:fill="auto"/>
          </w:tcPr>
          <w:p w:rsidR="0088412C" w:rsidRPr="008F4A57" w:rsidRDefault="0088412C" w:rsidP="001D131F">
            <w:pPr>
              <w:pStyle w:val="RepTable"/>
            </w:pPr>
            <w:r w:rsidRPr="008F4A57">
              <w:t>0.1 mg/kg bw/d (corrected for 73% oral absorption)</w:t>
            </w:r>
          </w:p>
        </w:tc>
      </w:tr>
      <w:tr w:rsidR="0088412C" w:rsidRPr="00B32849" w:rsidTr="001D131F">
        <w:tc>
          <w:tcPr>
            <w:tcW w:w="2184" w:type="dxa"/>
            <w:tcBorders>
              <w:top w:val="single" w:sz="4" w:space="0" w:color="auto"/>
              <w:left w:val="single" w:sz="4" w:space="0" w:color="auto"/>
              <w:bottom w:val="single" w:sz="4" w:space="0" w:color="auto"/>
              <w:right w:val="single" w:sz="4" w:space="0" w:color="auto"/>
            </w:tcBorders>
            <w:shd w:val="clear" w:color="auto" w:fill="auto"/>
          </w:tcPr>
          <w:p w:rsidR="0088412C" w:rsidRPr="00B32849" w:rsidRDefault="0088412C" w:rsidP="001D131F">
            <w:pPr>
              <w:pStyle w:val="RepTable"/>
            </w:pPr>
            <w:r>
              <w:t>AAOEL systemic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8412C" w:rsidRPr="00475EEA" w:rsidRDefault="0088412C" w:rsidP="001D131F">
            <w:pPr>
              <w:pStyle w:val="RepTable"/>
            </w:pPr>
            <w:r>
              <w:rPr>
                <w:noProof w:val="0"/>
              </w:rPr>
              <w:t>No AAOEL derived, not necessary</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88412C" w:rsidRPr="00475EEA" w:rsidRDefault="0088412C" w:rsidP="001D131F">
            <w:pPr>
              <w:pStyle w:val="RepTable"/>
            </w:pPr>
            <w:r>
              <w:rPr>
                <w:noProof w:val="0"/>
              </w:rPr>
              <w:t>No AAOEL derived, not necessary</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88412C" w:rsidRPr="008F4A57" w:rsidRDefault="0088412C" w:rsidP="001D131F">
            <w:pPr>
              <w:pStyle w:val="RepTable"/>
            </w:pPr>
            <w:r>
              <w:rPr>
                <w:noProof w:val="0"/>
              </w:rPr>
              <w:t>No AAOEL derived, not necessary</w:t>
            </w:r>
          </w:p>
        </w:tc>
      </w:tr>
      <w:tr w:rsidR="0088412C" w:rsidRPr="00B32849" w:rsidTr="001D131F">
        <w:tc>
          <w:tcPr>
            <w:tcW w:w="2184" w:type="dxa"/>
            <w:shd w:val="clear" w:color="auto" w:fill="auto"/>
          </w:tcPr>
          <w:p w:rsidR="0088412C" w:rsidRPr="008F4A57" w:rsidRDefault="0088412C" w:rsidP="001D131F">
            <w:pPr>
              <w:pStyle w:val="RepTable"/>
            </w:pPr>
            <w:r w:rsidRPr="008F4A57">
              <w:t xml:space="preserve">Vapour pressure </w:t>
            </w:r>
          </w:p>
        </w:tc>
        <w:tc>
          <w:tcPr>
            <w:tcW w:w="2551" w:type="dxa"/>
            <w:shd w:val="clear" w:color="auto" w:fill="auto"/>
          </w:tcPr>
          <w:p w:rsidR="0088412C" w:rsidRPr="008F4A57" w:rsidRDefault="0088412C" w:rsidP="001D131F">
            <w:pPr>
              <w:pStyle w:val="RepTable"/>
            </w:pPr>
            <w:r w:rsidRPr="008F4A57">
              <w:rPr>
                <w:rFonts w:cstheme="minorHAnsi"/>
                <w:noProof w:val="0"/>
                <w:szCs w:val="20"/>
                <w:lang w:val="fr-FR"/>
              </w:rPr>
              <w:t>3.5×10</w:t>
            </w:r>
            <w:r w:rsidRPr="008F4A57">
              <w:rPr>
                <w:rFonts w:cstheme="minorHAnsi"/>
                <w:noProof w:val="0"/>
                <w:szCs w:val="20"/>
                <w:vertAlign w:val="superscript"/>
                <w:lang w:val="fr-FR"/>
              </w:rPr>
              <w:t xml:space="preserve">-12 </w:t>
            </w:r>
            <w:r w:rsidRPr="008F4A57">
              <w:rPr>
                <w:rFonts w:cstheme="minorHAnsi"/>
                <w:noProof w:val="0"/>
                <w:szCs w:val="20"/>
                <w:lang w:val="fr-FR"/>
              </w:rPr>
              <w:t>Pa (20°C)</w:t>
            </w:r>
          </w:p>
        </w:tc>
        <w:tc>
          <w:tcPr>
            <w:tcW w:w="2552" w:type="dxa"/>
            <w:shd w:val="clear" w:color="auto" w:fill="auto"/>
          </w:tcPr>
          <w:p w:rsidR="0088412C" w:rsidRPr="008F4A57" w:rsidRDefault="0088412C" w:rsidP="001D131F">
            <w:pPr>
              <w:pStyle w:val="RepTable"/>
            </w:pPr>
            <w:r w:rsidRPr="008F4A57">
              <w:rPr>
                <w:rFonts w:cstheme="minorHAnsi"/>
                <w:noProof w:val="0"/>
                <w:szCs w:val="20"/>
                <w:lang w:val="fr-FR"/>
              </w:rPr>
              <w:t>2.6×10</w:t>
            </w:r>
            <w:r w:rsidRPr="008F4A57">
              <w:rPr>
                <w:rFonts w:cstheme="minorHAnsi"/>
                <w:noProof w:val="0"/>
                <w:szCs w:val="20"/>
                <w:vertAlign w:val="superscript"/>
                <w:lang w:val="fr-FR"/>
              </w:rPr>
              <w:t>-9</w:t>
            </w:r>
            <w:r w:rsidRPr="008F4A57">
              <w:rPr>
                <w:rFonts w:cstheme="minorHAnsi"/>
                <w:noProof w:val="0"/>
                <w:szCs w:val="20"/>
                <w:lang w:val="fr-FR"/>
              </w:rPr>
              <w:t xml:space="preserve"> Pa (20 °C)</w:t>
            </w:r>
          </w:p>
        </w:tc>
        <w:tc>
          <w:tcPr>
            <w:tcW w:w="2185" w:type="dxa"/>
            <w:shd w:val="clear" w:color="auto" w:fill="auto"/>
          </w:tcPr>
          <w:p w:rsidR="0088412C" w:rsidRPr="008F4A57" w:rsidRDefault="0088412C" w:rsidP="001D131F">
            <w:pPr>
              <w:pStyle w:val="RepTable"/>
            </w:pPr>
            <w:r w:rsidRPr="008F4A57">
              <w:rPr>
                <w:rFonts w:cstheme="minorHAnsi"/>
                <w:noProof w:val="0"/>
                <w:szCs w:val="20"/>
                <w:lang w:val="fr-FR"/>
              </w:rPr>
              <w:t>6.3×10</w:t>
            </w:r>
            <w:r w:rsidRPr="008F4A57">
              <w:rPr>
                <w:rFonts w:cstheme="minorHAnsi"/>
                <w:noProof w:val="0"/>
                <w:szCs w:val="20"/>
                <w:vertAlign w:val="superscript"/>
                <w:lang w:val="fr-FR"/>
              </w:rPr>
              <w:t>-6</w:t>
            </w:r>
            <w:r w:rsidRPr="008F4A57">
              <w:rPr>
                <w:rFonts w:cstheme="minorHAnsi"/>
                <w:noProof w:val="0"/>
                <w:szCs w:val="20"/>
                <w:lang w:val="fr-FR"/>
              </w:rPr>
              <w:t xml:space="preserve"> Pa (20 °C)</w:t>
            </w:r>
          </w:p>
        </w:tc>
      </w:tr>
      <w:tr w:rsidR="0088412C" w:rsidRPr="00B32849" w:rsidTr="001D131F">
        <w:tc>
          <w:tcPr>
            <w:tcW w:w="2184" w:type="dxa"/>
          </w:tcPr>
          <w:p w:rsidR="0088412C" w:rsidRPr="00B32849" w:rsidRDefault="0088412C" w:rsidP="001D131F">
            <w:pPr>
              <w:pStyle w:val="RepTable"/>
            </w:pPr>
            <w:r w:rsidRPr="00B32849">
              <w:t>Reference</w:t>
            </w:r>
          </w:p>
        </w:tc>
        <w:tc>
          <w:tcPr>
            <w:tcW w:w="2551" w:type="dxa"/>
            <w:shd w:val="clear" w:color="auto" w:fill="auto"/>
          </w:tcPr>
          <w:p w:rsidR="0088412C" w:rsidRPr="00475EEA" w:rsidRDefault="0088412C" w:rsidP="001D131F">
            <w:pPr>
              <w:pStyle w:val="RepTable"/>
              <w:suppressAutoHyphens/>
            </w:pPr>
            <w:r w:rsidRPr="00475EEA">
              <w:t>EFSA Conclusion</w:t>
            </w:r>
          </w:p>
          <w:p w:rsidR="0088412C" w:rsidRDefault="0088412C" w:rsidP="001D131F">
            <w:pPr>
              <w:pStyle w:val="RepTable"/>
              <w:rPr>
                <w:lang w:val="en-IE"/>
              </w:rPr>
            </w:pPr>
            <w:r w:rsidRPr="00475EEA">
              <w:t xml:space="preserve">(EFSA Journal </w:t>
            </w:r>
            <w:r w:rsidRPr="00475EEA">
              <w:rPr>
                <w:lang w:val="en-IE"/>
              </w:rPr>
              <w:t>2016;14(10):4584)</w:t>
            </w:r>
          </w:p>
          <w:p w:rsidR="0088412C" w:rsidRPr="00475EEA" w:rsidRDefault="0088412C" w:rsidP="001D131F">
            <w:pPr>
              <w:pStyle w:val="RepTable"/>
            </w:pPr>
            <w:r w:rsidRPr="00923433">
              <w:rPr>
                <w:lang w:val="fr-FR"/>
              </w:rPr>
              <w:t>SANTE/11827/2016 Rev 2</w:t>
            </w:r>
          </w:p>
        </w:tc>
        <w:tc>
          <w:tcPr>
            <w:tcW w:w="2552" w:type="dxa"/>
            <w:shd w:val="clear" w:color="auto" w:fill="auto"/>
          </w:tcPr>
          <w:p w:rsidR="0088412C" w:rsidRPr="00475EEA" w:rsidRDefault="0088412C" w:rsidP="001D131F">
            <w:pPr>
              <w:pStyle w:val="RepTable"/>
              <w:suppressAutoHyphens/>
            </w:pPr>
            <w:r w:rsidRPr="00475EEA">
              <w:t>EFSA Conclusion</w:t>
            </w:r>
          </w:p>
          <w:p w:rsidR="0088412C" w:rsidRDefault="0088412C" w:rsidP="001D131F">
            <w:pPr>
              <w:pStyle w:val="RepTable"/>
              <w:rPr>
                <w:lang w:val="en-IE"/>
              </w:rPr>
            </w:pPr>
            <w:r w:rsidRPr="00475EEA">
              <w:rPr>
                <w:lang w:val="en-US"/>
              </w:rPr>
              <w:t xml:space="preserve">(EFSA Journal </w:t>
            </w:r>
            <w:r w:rsidRPr="00475EEA">
              <w:rPr>
                <w:lang w:val="en-IE"/>
              </w:rPr>
              <w:t>2016;14(4):4453)</w:t>
            </w:r>
          </w:p>
          <w:p w:rsidR="0088412C" w:rsidRPr="00475EEA" w:rsidRDefault="0088412C" w:rsidP="001D131F">
            <w:pPr>
              <w:pStyle w:val="RepTable"/>
            </w:pPr>
            <w:r w:rsidRPr="00923433">
              <w:rPr>
                <w:lang w:val="fr-FR"/>
              </w:rPr>
              <w:t>SANTE/2016/11167 Rev 3</w:t>
            </w:r>
          </w:p>
        </w:tc>
        <w:tc>
          <w:tcPr>
            <w:tcW w:w="2185" w:type="dxa"/>
            <w:shd w:val="clear" w:color="auto" w:fill="auto"/>
          </w:tcPr>
          <w:p w:rsidR="0088412C" w:rsidRPr="008154E2" w:rsidRDefault="0088412C" w:rsidP="001D131F">
            <w:pPr>
              <w:pStyle w:val="RepTable"/>
              <w:rPr>
                <w:highlight w:val="yellow"/>
              </w:rPr>
            </w:pPr>
            <w:r w:rsidRPr="008F4A57">
              <w:t>FAO specification and evaluations for agricultural pesticides (mefenpyr-diethyl); DAR (2011)</w:t>
            </w:r>
          </w:p>
        </w:tc>
      </w:tr>
      <w:tr w:rsidR="0088412C" w:rsidRPr="00B32849" w:rsidTr="001D131F">
        <w:tc>
          <w:tcPr>
            <w:tcW w:w="9472" w:type="dxa"/>
            <w:gridSpan w:val="4"/>
          </w:tcPr>
          <w:p w:rsidR="0088412C" w:rsidRPr="00B32849" w:rsidRDefault="0088412C" w:rsidP="001D131F">
            <w:pPr>
              <w:pStyle w:val="RepTableBold"/>
              <w:rPr>
                <w:lang w:val="en-GB"/>
              </w:rPr>
            </w:pPr>
            <w:r w:rsidRPr="00B32849">
              <w:rPr>
                <w:lang w:val="en-GB"/>
              </w:rPr>
              <w:t>Conditions to take into account/critical areas of concern with regard to toxicology</w:t>
            </w:r>
          </w:p>
        </w:tc>
      </w:tr>
      <w:tr w:rsidR="0088412C" w:rsidRPr="00B32849" w:rsidTr="001D131F">
        <w:tc>
          <w:tcPr>
            <w:tcW w:w="2184" w:type="dxa"/>
          </w:tcPr>
          <w:p w:rsidR="0088412C" w:rsidRPr="00B32849" w:rsidRDefault="0088412C" w:rsidP="001D131F">
            <w:pPr>
              <w:pStyle w:val="RepTable"/>
            </w:pPr>
            <w:r w:rsidRPr="00DC3F30">
              <w:t xml:space="preserve">According to </w:t>
            </w:r>
            <w:r w:rsidRPr="00775188">
              <w:t>EFSA Conclusion</w:t>
            </w:r>
            <w:r w:rsidRPr="00B32849">
              <w:t xml:space="preserve"> </w:t>
            </w:r>
          </w:p>
        </w:tc>
        <w:tc>
          <w:tcPr>
            <w:tcW w:w="2551" w:type="dxa"/>
            <w:shd w:val="clear" w:color="auto" w:fill="auto"/>
          </w:tcPr>
          <w:p w:rsidR="0088412C" w:rsidRPr="00775188" w:rsidRDefault="0088412C" w:rsidP="001D131F">
            <w:pPr>
              <w:pStyle w:val="RepTable"/>
            </w:pPr>
            <w:r w:rsidRPr="00775188">
              <w:rPr>
                <w:lang w:val="en-US"/>
              </w:rPr>
              <w:t>Addressed in Point 6.1 above.</w:t>
            </w:r>
          </w:p>
        </w:tc>
        <w:tc>
          <w:tcPr>
            <w:tcW w:w="2552" w:type="dxa"/>
            <w:shd w:val="clear" w:color="auto" w:fill="auto"/>
          </w:tcPr>
          <w:p w:rsidR="0088412C" w:rsidRPr="00775188" w:rsidRDefault="0088412C" w:rsidP="001D131F">
            <w:pPr>
              <w:pStyle w:val="RepTable"/>
            </w:pPr>
            <w:r w:rsidRPr="00775188">
              <w:rPr>
                <w:lang w:val="en-US"/>
              </w:rPr>
              <w:t>Addressed in Point 6.1 above.</w:t>
            </w:r>
          </w:p>
        </w:tc>
        <w:tc>
          <w:tcPr>
            <w:tcW w:w="2185" w:type="dxa"/>
          </w:tcPr>
          <w:p w:rsidR="0088412C" w:rsidRPr="00775188" w:rsidRDefault="0088412C" w:rsidP="001D131F">
            <w:pPr>
              <w:pStyle w:val="RepTable"/>
            </w:pPr>
            <w:r w:rsidRPr="00775188">
              <w:rPr>
                <w:lang w:val="en-US"/>
              </w:rPr>
              <w:t>Addressed in Point 6.1 above.</w:t>
            </w:r>
          </w:p>
        </w:tc>
      </w:tr>
    </w:tbl>
    <w:p w:rsidR="0088412C" w:rsidRDefault="0088412C" w:rsidP="0088412C">
      <w:pPr>
        <w:spacing w:after="237" w:line="248" w:lineRule="auto"/>
        <w:ind w:left="2" w:hanging="10"/>
      </w:pPr>
    </w:p>
    <w:p w:rsidR="00C81348" w:rsidRPr="00B32849" w:rsidRDefault="00C81348" w:rsidP="0079387A">
      <w:pPr>
        <w:pStyle w:val="Nagwek2"/>
      </w:pPr>
      <w:bookmarkStart w:id="86" w:name="_Toc300147914"/>
      <w:bookmarkStart w:id="87" w:name="_Toc304462607"/>
      <w:bookmarkStart w:id="88" w:name="_Toc314067798"/>
      <w:bookmarkStart w:id="89" w:name="_Toc314122088"/>
      <w:bookmarkStart w:id="90" w:name="_Toc314129267"/>
      <w:bookmarkStart w:id="91" w:name="_Toc314142386"/>
      <w:bookmarkStart w:id="92" w:name="_Toc314557393"/>
      <w:bookmarkStart w:id="93" w:name="_Toc314557651"/>
      <w:bookmarkStart w:id="94" w:name="_Toc328552149"/>
      <w:bookmarkStart w:id="95" w:name="_Toc332020592"/>
      <w:bookmarkStart w:id="96" w:name="_Toc332203433"/>
      <w:bookmarkStart w:id="97" w:name="_Toc332206985"/>
      <w:bookmarkStart w:id="98" w:name="_Toc332296157"/>
      <w:bookmarkStart w:id="99" w:name="_Toc336434724"/>
      <w:bookmarkStart w:id="100" w:name="_Toc397516875"/>
      <w:bookmarkStart w:id="101" w:name="_Toc398627855"/>
      <w:bookmarkStart w:id="102" w:name="_Toc399335710"/>
      <w:bookmarkStart w:id="103" w:name="_Toc399764850"/>
      <w:bookmarkStart w:id="104" w:name="_Toc412562642"/>
      <w:bookmarkStart w:id="105" w:name="_Toc412562719"/>
      <w:bookmarkStart w:id="106" w:name="_Toc413662711"/>
      <w:bookmarkStart w:id="107" w:name="_Toc413673568"/>
      <w:bookmarkStart w:id="108" w:name="_Toc413673666"/>
      <w:bookmarkStart w:id="109" w:name="_Toc413673737"/>
      <w:bookmarkStart w:id="110" w:name="_Toc413928636"/>
      <w:bookmarkStart w:id="111" w:name="_Toc413936250"/>
      <w:bookmarkStart w:id="112" w:name="_Toc413937961"/>
      <w:bookmarkStart w:id="113" w:name="_Toc414026688"/>
      <w:bookmarkStart w:id="114" w:name="_Toc414974067"/>
      <w:bookmarkStart w:id="115" w:name="_Toc450900941"/>
      <w:bookmarkStart w:id="116" w:name="_Toc450920607"/>
      <w:bookmarkStart w:id="117" w:name="_Toc450923728"/>
      <w:bookmarkStart w:id="118" w:name="_Toc454460961"/>
      <w:bookmarkStart w:id="119" w:name="_Toc454462797"/>
      <w:bookmarkStart w:id="120" w:name="_Toc179811287"/>
      <w:r w:rsidRPr="00B32849">
        <w:t xml:space="preserve">Toxicological Evaluation of </w:t>
      </w:r>
      <w:bookmarkEnd w:id="86"/>
      <w:bookmarkEnd w:id="87"/>
      <w:bookmarkEnd w:id="88"/>
      <w:bookmarkEnd w:id="89"/>
      <w:bookmarkEnd w:id="90"/>
      <w:bookmarkEnd w:id="91"/>
      <w:bookmarkEnd w:id="92"/>
      <w:bookmarkEnd w:id="93"/>
      <w:r w:rsidRPr="00B32849">
        <w:t>Plant Protection Product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B32849">
        <w:t xml:space="preserve"> </w:t>
      </w:r>
    </w:p>
    <w:p w:rsidR="0095211F" w:rsidRDefault="00D152B0" w:rsidP="00205195">
      <w:pPr>
        <w:pStyle w:val="RepStandard"/>
      </w:pPr>
      <w:bookmarkStart w:id="121" w:name="_Hlk121756004"/>
      <w:r w:rsidRPr="006A507E">
        <w:t>The applicant considers product 054-01-05 to be comparable, if not identical, to the reference product</w:t>
      </w:r>
      <w:r w:rsidR="00952566" w:rsidRPr="006A507E">
        <w:t xml:space="preserve"> Atlantis 12 OD (10 g/L </w:t>
      </w:r>
      <w:proofErr w:type="spellStart"/>
      <w:r w:rsidR="00952566" w:rsidRPr="006A507E">
        <w:t>mesosulfuron</w:t>
      </w:r>
      <w:proofErr w:type="spellEnd"/>
      <w:r w:rsidR="00952566" w:rsidRPr="006A507E">
        <w:t xml:space="preserve">-methyl, 2 g/L </w:t>
      </w:r>
      <w:proofErr w:type="spellStart"/>
      <w:r w:rsidR="00952566" w:rsidRPr="006A507E">
        <w:t>iodosulfuron</w:t>
      </w:r>
      <w:proofErr w:type="spellEnd"/>
      <w:r w:rsidR="00952566" w:rsidRPr="006A507E">
        <w:t xml:space="preserve">-methyl-sodium and 30 g/L </w:t>
      </w:r>
      <w:proofErr w:type="spellStart"/>
      <w:r w:rsidR="00952566" w:rsidRPr="006A507E">
        <w:t>mefenpyr</w:t>
      </w:r>
      <w:proofErr w:type="spellEnd"/>
      <w:r w:rsidR="00952566" w:rsidRPr="006A507E">
        <w:t>-</w:t>
      </w:r>
      <w:r w:rsidR="00952566" w:rsidRPr="006A507E">
        <w:lastRenderedPageBreak/>
        <w:t xml:space="preserve">diethyl, OD, </w:t>
      </w:r>
      <w:r w:rsidR="00952566" w:rsidRPr="00113343">
        <w:t>authorisation number R-98/2009) of</w:t>
      </w:r>
      <w:r w:rsidR="00952566" w:rsidRPr="006A507E">
        <w:t xml:space="preserve"> Bayer AG. Therefore, the applicant requests identical classification to that of </w:t>
      </w:r>
      <w:r w:rsidR="00952566" w:rsidRPr="004E72A5">
        <w:t>Atlantis 12 OD.</w:t>
      </w:r>
      <w:r w:rsidR="00952566" w:rsidRPr="006A507E">
        <w:t xml:space="preserve"> </w:t>
      </w:r>
      <w:r w:rsidR="009E790F">
        <w:t>The classification has previously been evaluated under</w:t>
      </w:r>
      <w:r w:rsidR="00FE4AEE" w:rsidRPr="006A507E">
        <w:t xml:space="preserve"> ‘Toxicological Evaluation of Plant Protection Product’ of the Atlantis 12 OD re-registration report submitted by Bayer AG</w:t>
      </w:r>
      <w:r w:rsidR="00952566" w:rsidRPr="006A507E">
        <w:t>.</w:t>
      </w:r>
    </w:p>
    <w:p w:rsidR="004131DB" w:rsidRDefault="008B3519" w:rsidP="00113343">
      <w:pPr>
        <w:pStyle w:val="RepStandard"/>
        <w:spacing w:before="240"/>
      </w:pPr>
      <w:r>
        <w:t>A summary of the acute toxicological evaluation for product 054-01-05</w:t>
      </w:r>
      <w:r w:rsidR="00FD3299">
        <w:t xml:space="preserve">, taken from the </w:t>
      </w:r>
      <w:r w:rsidR="00FD3299" w:rsidRPr="006A507E">
        <w:t>Atlantis 12 OD re-registration report</w:t>
      </w:r>
      <w:r w:rsidR="00FD3299">
        <w:t>,</w:t>
      </w:r>
      <w:r>
        <w:t xml:space="preserve"> is given in the Table 6.3-1 below.</w:t>
      </w:r>
    </w:p>
    <w:p w:rsidR="001420C4" w:rsidRPr="00D25689" w:rsidRDefault="001420C4" w:rsidP="004E72A5">
      <w:pPr>
        <w:pStyle w:val="Legenda"/>
        <w:keepNext/>
        <w:spacing w:before="240"/>
        <w:ind w:left="1416" w:hanging="1416"/>
        <w:rPr>
          <w:sz w:val="22"/>
          <w:szCs w:val="22"/>
          <w:lang w:val="en-GB"/>
        </w:rPr>
      </w:pPr>
      <w:bookmarkStart w:id="122" w:name="_Hlk123716232"/>
      <w:r w:rsidRPr="00D25689">
        <w:rPr>
          <w:sz w:val="22"/>
          <w:szCs w:val="22"/>
          <w:lang w:val="en-GB"/>
        </w:rPr>
        <w:t>Table 6.3-1:</w:t>
      </w:r>
      <w:r w:rsidRPr="00D25689">
        <w:rPr>
          <w:sz w:val="22"/>
          <w:szCs w:val="22"/>
          <w:lang w:val="en-GB"/>
        </w:rPr>
        <w:tab/>
        <w:t>Summary of evaluation of the studies on acute toxicity including irritancy and skin sensitisation for 054-01-05</w:t>
      </w:r>
    </w:p>
    <w:tbl>
      <w:tblPr>
        <w:tblStyle w:val="Tabela-Siatka"/>
        <w:tblW w:w="0" w:type="auto"/>
        <w:tblLook w:val="04A0"/>
      </w:tblPr>
      <w:tblGrid>
        <w:gridCol w:w="1869"/>
        <w:gridCol w:w="1869"/>
        <w:gridCol w:w="1870"/>
        <w:gridCol w:w="1870"/>
        <w:gridCol w:w="1870"/>
      </w:tblGrid>
      <w:tr w:rsidR="0095211F" w:rsidTr="0095211F">
        <w:tc>
          <w:tcPr>
            <w:tcW w:w="1869" w:type="dxa"/>
          </w:tcPr>
          <w:p w:rsidR="0095211F" w:rsidRPr="00D25689" w:rsidRDefault="0095211F" w:rsidP="00205195">
            <w:pPr>
              <w:pStyle w:val="RepStandard"/>
              <w:rPr>
                <w:b/>
                <w:bCs/>
                <w:sz w:val="20"/>
                <w:szCs w:val="20"/>
              </w:rPr>
            </w:pPr>
            <w:r w:rsidRPr="00D25689">
              <w:rPr>
                <w:b/>
                <w:bCs/>
                <w:sz w:val="20"/>
                <w:szCs w:val="20"/>
              </w:rPr>
              <w:t>Study</w:t>
            </w:r>
          </w:p>
        </w:tc>
        <w:tc>
          <w:tcPr>
            <w:tcW w:w="1869" w:type="dxa"/>
          </w:tcPr>
          <w:p w:rsidR="0095211F" w:rsidRPr="00D25689" w:rsidRDefault="0095211F" w:rsidP="00205195">
            <w:pPr>
              <w:pStyle w:val="RepStandard"/>
              <w:rPr>
                <w:b/>
                <w:bCs/>
                <w:sz w:val="20"/>
                <w:szCs w:val="20"/>
              </w:rPr>
            </w:pPr>
            <w:r w:rsidRPr="00D25689">
              <w:rPr>
                <w:b/>
                <w:bCs/>
                <w:sz w:val="20"/>
                <w:szCs w:val="20"/>
              </w:rPr>
              <w:t>Reference</w:t>
            </w:r>
          </w:p>
        </w:tc>
        <w:tc>
          <w:tcPr>
            <w:tcW w:w="1870" w:type="dxa"/>
          </w:tcPr>
          <w:p w:rsidR="0095211F" w:rsidRPr="00D25689" w:rsidRDefault="0095211F" w:rsidP="0095211F">
            <w:pPr>
              <w:pStyle w:val="RepStandard"/>
              <w:jc w:val="center"/>
              <w:rPr>
                <w:b/>
                <w:bCs/>
                <w:sz w:val="20"/>
                <w:szCs w:val="20"/>
              </w:rPr>
            </w:pPr>
            <w:r w:rsidRPr="00D25689">
              <w:rPr>
                <w:b/>
                <w:bCs/>
                <w:sz w:val="20"/>
                <w:szCs w:val="20"/>
              </w:rPr>
              <w:t>Species (sex)</w:t>
            </w:r>
          </w:p>
        </w:tc>
        <w:tc>
          <w:tcPr>
            <w:tcW w:w="1870" w:type="dxa"/>
          </w:tcPr>
          <w:p w:rsidR="0095211F" w:rsidRPr="00D25689" w:rsidRDefault="0095211F" w:rsidP="00205195">
            <w:pPr>
              <w:pStyle w:val="RepStandard"/>
              <w:rPr>
                <w:b/>
                <w:bCs/>
                <w:sz w:val="20"/>
                <w:szCs w:val="20"/>
              </w:rPr>
            </w:pPr>
            <w:r w:rsidRPr="00D25689">
              <w:rPr>
                <w:b/>
                <w:bCs/>
                <w:sz w:val="20"/>
                <w:szCs w:val="20"/>
              </w:rPr>
              <w:t>Results</w:t>
            </w:r>
          </w:p>
        </w:tc>
        <w:tc>
          <w:tcPr>
            <w:tcW w:w="1870" w:type="dxa"/>
          </w:tcPr>
          <w:p w:rsidR="0095211F" w:rsidRPr="00D25689" w:rsidRDefault="0095211F" w:rsidP="00205195">
            <w:pPr>
              <w:pStyle w:val="RepStandard"/>
              <w:rPr>
                <w:b/>
                <w:bCs/>
                <w:sz w:val="20"/>
                <w:szCs w:val="20"/>
              </w:rPr>
            </w:pPr>
            <w:r w:rsidRPr="00D25689">
              <w:rPr>
                <w:b/>
                <w:bCs/>
                <w:sz w:val="20"/>
                <w:szCs w:val="20"/>
              </w:rPr>
              <w:t>Classification According to the Regulation (EC) No 1272/2008</w:t>
            </w:r>
          </w:p>
        </w:tc>
      </w:tr>
      <w:tr w:rsidR="0095211F" w:rsidTr="0095211F">
        <w:tc>
          <w:tcPr>
            <w:tcW w:w="1869" w:type="dxa"/>
          </w:tcPr>
          <w:p w:rsidR="0095211F" w:rsidRPr="00D25689" w:rsidRDefault="0095211F" w:rsidP="001420C4">
            <w:pPr>
              <w:pStyle w:val="RepStandard"/>
              <w:jc w:val="left"/>
              <w:rPr>
                <w:sz w:val="20"/>
                <w:szCs w:val="20"/>
              </w:rPr>
            </w:pPr>
            <w:r w:rsidRPr="00D25689">
              <w:rPr>
                <w:sz w:val="20"/>
                <w:szCs w:val="20"/>
              </w:rPr>
              <w:t>Acute oral</w:t>
            </w:r>
          </w:p>
        </w:tc>
        <w:tc>
          <w:tcPr>
            <w:tcW w:w="1869" w:type="dxa"/>
          </w:tcPr>
          <w:p w:rsidR="0095211F" w:rsidRPr="00D25689" w:rsidRDefault="0090208C" w:rsidP="001420C4">
            <w:pPr>
              <w:pStyle w:val="RepStandard"/>
              <w:jc w:val="left"/>
              <w:rPr>
                <w:sz w:val="20"/>
                <w:szCs w:val="20"/>
              </w:rPr>
            </w:pPr>
            <w:r w:rsidRPr="00D25689">
              <w:rPr>
                <w:sz w:val="20"/>
                <w:szCs w:val="20"/>
              </w:rPr>
              <w:t>Anon, 2003a</w:t>
            </w:r>
          </w:p>
        </w:tc>
        <w:tc>
          <w:tcPr>
            <w:tcW w:w="1870" w:type="dxa"/>
          </w:tcPr>
          <w:p w:rsidR="0095211F" w:rsidRPr="00D25689" w:rsidRDefault="0095211F" w:rsidP="001420C4">
            <w:pPr>
              <w:pStyle w:val="RepStandard"/>
              <w:jc w:val="left"/>
              <w:rPr>
                <w:sz w:val="20"/>
                <w:szCs w:val="20"/>
              </w:rPr>
            </w:pPr>
            <w:r w:rsidRPr="00D25689">
              <w:rPr>
                <w:sz w:val="20"/>
                <w:szCs w:val="20"/>
              </w:rPr>
              <w:t>Rat (Female)</w:t>
            </w:r>
          </w:p>
        </w:tc>
        <w:tc>
          <w:tcPr>
            <w:tcW w:w="1870" w:type="dxa"/>
          </w:tcPr>
          <w:p w:rsidR="0095211F" w:rsidRPr="00D25689" w:rsidRDefault="0095211F" w:rsidP="001420C4">
            <w:pPr>
              <w:pStyle w:val="RepStandard"/>
              <w:jc w:val="left"/>
              <w:rPr>
                <w:sz w:val="20"/>
                <w:szCs w:val="20"/>
              </w:rPr>
            </w:pPr>
            <w:r w:rsidRPr="00D25689">
              <w:rPr>
                <w:sz w:val="20"/>
                <w:szCs w:val="20"/>
              </w:rPr>
              <w:t>LD</w:t>
            </w:r>
            <w:r w:rsidRPr="00D25689">
              <w:rPr>
                <w:sz w:val="20"/>
                <w:szCs w:val="20"/>
                <w:vertAlign w:val="subscript"/>
              </w:rPr>
              <w:t>50</w:t>
            </w:r>
            <w:r w:rsidRPr="00D25689">
              <w:rPr>
                <w:sz w:val="20"/>
                <w:szCs w:val="20"/>
              </w:rPr>
              <w:t xml:space="preserve"> ≥2000 mg/kg </w:t>
            </w:r>
            <w:proofErr w:type="spellStart"/>
            <w:r w:rsidRPr="00D25689">
              <w:rPr>
                <w:sz w:val="20"/>
                <w:szCs w:val="20"/>
              </w:rPr>
              <w:t>bw</w:t>
            </w:r>
            <w:proofErr w:type="spellEnd"/>
          </w:p>
        </w:tc>
        <w:tc>
          <w:tcPr>
            <w:tcW w:w="1870" w:type="dxa"/>
          </w:tcPr>
          <w:p w:rsidR="0095211F" w:rsidRPr="00D25689" w:rsidRDefault="0095211F" w:rsidP="001420C4">
            <w:pPr>
              <w:pStyle w:val="RepStandard"/>
              <w:jc w:val="left"/>
              <w:rPr>
                <w:sz w:val="20"/>
                <w:szCs w:val="20"/>
              </w:rPr>
            </w:pPr>
            <w:r w:rsidRPr="00D25689">
              <w:rPr>
                <w:sz w:val="20"/>
                <w:szCs w:val="20"/>
              </w:rPr>
              <w:t>No classification.</w:t>
            </w:r>
          </w:p>
        </w:tc>
      </w:tr>
      <w:tr w:rsidR="0095211F" w:rsidTr="004F3BA4">
        <w:trPr>
          <w:trHeight w:val="515"/>
        </w:trPr>
        <w:tc>
          <w:tcPr>
            <w:tcW w:w="1869" w:type="dxa"/>
          </w:tcPr>
          <w:p w:rsidR="0095211F" w:rsidRPr="00D25689" w:rsidRDefault="0095211F" w:rsidP="001420C4">
            <w:pPr>
              <w:pStyle w:val="RepStandard"/>
              <w:jc w:val="left"/>
              <w:rPr>
                <w:sz w:val="20"/>
                <w:szCs w:val="20"/>
              </w:rPr>
            </w:pPr>
            <w:r w:rsidRPr="00D25689">
              <w:rPr>
                <w:sz w:val="20"/>
                <w:szCs w:val="20"/>
              </w:rPr>
              <w:t>Acute dermal</w:t>
            </w:r>
          </w:p>
        </w:tc>
        <w:tc>
          <w:tcPr>
            <w:tcW w:w="1869" w:type="dxa"/>
          </w:tcPr>
          <w:p w:rsidR="0095211F" w:rsidRPr="00D25689" w:rsidRDefault="009F798F" w:rsidP="001420C4">
            <w:pPr>
              <w:pStyle w:val="RepStandard"/>
              <w:jc w:val="left"/>
              <w:rPr>
                <w:sz w:val="20"/>
                <w:szCs w:val="20"/>
              </w:rPr>
            </w:pPr>
            <w:r w:rsidRPr="00D25689">
              <w:rPr>
                <w:sz w:val="20"/>
                <w:szCs w:val="20"/>
              </w:rPr>
              <w:t>Anon, 2003b</w:t>
            </w:r>
          </w:p>
        </w:tc>
        <w:tc>
          <w:tcPr>
            <w:tcW w:w="1870" w:type="dxa"/>
          </w:tcPr>
          <w:p w:rsidR="0095211F" w:rsidRPr="00D25689" w:rsidRDefault="0095211F" w:rsidP="001420C4">
            <w:pPr>
              <w:pStyle w:val="RepStandard"/>
              <w:jc w:val="left"/>
              <w:rPr>
                <w:sz w:val="20"/>
                <w:szCs w:val="20"/>
              </w:rPr>
            </w:pPr>
            <w:r w:rsidRPr="00D25689">
              <w:rPr>
                <w:sz w:val="20"/>
                <w:szCs w:val="20"/>
              </w:rPr>
              <w:t>Rat (Male &amp; Female)</w:t>
            </w:r>
          </w:p>
        </w:tc>
        <w:tc>
          <w:tcPr>
            <w:tcW w:w="1870" w:type="dxa"/>
          </w:tcPr>
          <w:p w:rsidR="004F3BA4" w:rsidRPr="00D25689" w:rsidRDefault="0095211F" w:rsidP="001420C4">
            <w:pPr>
              <w:pStyle w:val="RepStandard"/>
              <w:jc w:val="left"/>
              <w:rPr>
                <w:sz w:val="20"/>
                <w:szCs w:val="20"/>
              </w:rPr>
            </w:pPr>
            <w:r w:rsidRPr="00D25689">
              <w:rPr>
                <w:sz w:val="20"/>
                <w:szCs w:val="20"/>
              </w:rPr>
              <w:t>LD</w:t>
            </w:r>
            <w:r w:rsidRPr="00D25689">
              <w:rPr>
                <w:sz w:val="20"/>
                <w:szCs w:val="20"/>
                <w:vertAlign w:val="subscript"/>
              </w:rPr>
              <w:t>50</w:t>
            </w:r>
            <w:r w:rsidRPr="00D25689">
              <w:rPr>
                <w:sz w:val="20"/>
                <w:szCs w:val="20"/>
              </w:rPr>
              <w:t xml:space="preserve"> &gt; 4000 mg/kg </w:t>
            </w:r>
            <w:proofErr w:type="spellStart"/>
            <w:r w:rsidRPr="00D25689">
              <w:rPr>
                <w:sz w:val="20"/>
                <w:szCs w:val="20"/>
              </w:rPr>
              <w:t>bw</w:t>
            </w:r>
            <w:proofErr w:type="spellEnd"/>
          </w:p>
        </w:tc>
        <w:tc>
          <w:tcPr>
            <w:tcW w:w="1870" w:type="dxa"/>
          </w:tcPr>
          <w:p w:rsidR="0095211F" w:rsidRPr="00D25689" w:rsidRDefault="0095211F" w:rsidP="001420C4">
            <w:pPr>
              <w:pStyle w:val="RepStandard"/>
              <w:jc w:val="left"/>
              <w:rPr>
                <w:sz w:val="20"/>
                <w:szCs w:val="20"/>
              </w:rPr>
            </w:pPr>
            <w:r w:rsidRPr="00D25689">
              <w:rPr>
                <w:sz w:val="20"/>
                <w:szCs w:val="20"/>
              </w:rPr>
              <w:t>No classification</w:t>
            </w:r>
          </w:p>
        </w:tc>
      </w:tr>
      <w:tr w:rsidR="004F3BA4" w:rsidTr="0095211F">
        <w:trPr>
          <w:trHeight w:val="411"/>
        </w:trPr>
        <w:tc>
          <w:tcPr>
            <w:tcW w:w="1869" w:type="dxa"/>
          </w:tcPr>
          <w:p w:rsidR="004F3BA4" w:rsidRPr="00D25689" w:rsidRDefault="004F3BA4" w:rsidP="001420C4">
            <w:pPr>
              <w:pStyle w:val="RepStandard"/>
              <w:jc w:val="left"/>
              <w:rPr>
                <w:sz w:val="20"/>
                <w:szCs w:val="20"/>
              </w:rPr>
            </w:pPr>
            <w:r w:rsidRPr="00766A3D">
              <w:rPr>
                <w:sz w:val="20"/>
                <w:szCs w:val="20"/>
                <w:highlight w:val="magenta"/>
              </w:rPr>
              <w:t>Acute inhalation</w:t>
            </w:r>
          </w:p>
        </w:tc>
        <w:tc>
          <w:tcPr>
            <w:tcW w:w="1869" w:type="dxa"/>
          </w:tcPr>
          <w:p w:rsidR="004F3BA4" w:rsidRPr="003A4609" w:rsidRDefault="004F3BA4" w:rsidP="004F3BA4">
            <w:pPr>
              <w:pStyle w:val="RepStandard"/>
              <w:ind w:left="360"/>
              <w:jc w:val="left"/>
              <w:rPr>
                <w:sz w:val="20"/>
                <w:szCs w:val="20"/>
                <w:highlight w:val="magenta"/>
              </w:rPr>
            </w:pPr>
            <w:r w:rsidRPr="003A4609">
              <w:rPr>
                <w:sz w:val="20"/>
                <w:szCs w:val="20"/>
                <w:highlight w:val="magenta"/>
              </w:rPr>
              <w:t>A.2. 4</w:t>
            </w:r>
          </w:p>
          <w:p w:rsidR="004F3BA4" w:rsidRDefault="004F3BA4" w:rsidP="004F3BA4">
            <w:pPr>
              <w:pStyle w:val="RepStandard"/>
              <w:ind w:left="360"/>
              <w:jc w:val="left"/>
              <w:rPr>
                <w:sz w:val="20"/>
                <w:szCs w:val="20"/>
              </w:rPr>
            </w:pPr>
            <w:r w:rsidRPr="003A4609">
              <w:rPr>
                <w:sz w:val="20"/>
                <w:szCs w:val="20"/>
                <w:highlight w:val="magenta"/>
              </w:rPr>
              <w:t>Atlantis  12 OD</w:t>
            </w:r>
            <w:r>
              <w:rPr>
                <w:sz w:val="20"/>
                <w:szCs w:val="20"/>
              </w:rPr>
              <w:t xml:space="preserve"> </w:t>
            </w:r>
          </w:p>
          <w:p w:rsidR="004F3BA4" w:rsidRPr="00D25689" w:rsidRDefault="004F3BA4" w:rsidP="001420C4">
            <w:pPr>
              <w:pStyle w:val="RepStandard"/>
              <w:jc w:val="left"/>
              <w:rPr>
                <w:sz w:val="20"/>
                <w:szCs w:val="20"/>
              </w:rPr>
            </w:pPr>
          </w:p>
        </w:tc>
        <w:tc>
          <w:tcPr>
            <w:tcW w:w="1870" w:type="dxa"/>
          </w:tcPr>
          <w:p w:rsidR="004F3BA4" w:rsidRPr="006A77D5" w:rsidRDefault="004F3BA4" w:rsidP="001420C4">
            <w:pPr>
              <w:pStyle w:val="RepStandard"/>
              <w:jc w:val="left"/>
              <w:rPr>
                <w:sz w:val="20"/>
                <w:szCs w:val="20"/>
                <w:highlight w:val="magenta"/>
              </w:rPr>
            </w:pPr>
            <w:r w:rsidRPr="006A77D5">
              <w:rPr>
                <w:sz w:val="20"/>
                <w:szCs w:val="20"/>
                <w:highlight w:val="magenta"/>
              </w:rPr>
              <w:t>None</w:t>
            </w:r>
          </w:p>
        </w:tc>
        <w:tc>
          <w:tcPr>
            <w:tcW w:w="1870" w:type="dxa"/>
          </w:tcPr>
          <w:p w:rsidR="004F3BA4" w:rsidRPr="006A77D5" w:rsidRDefault="004F3BA4" w:rsidP="001420C4">
            <w:pPr>
              <w:pStyle w:val="RepStandard"/>
              <w:jc w:val="left"/>
              <w:rPr>
                <w:sz w:val="20"/>
                <w:szCs w:val="20"/>
                <w:highlight w:val="magenta"/>
              </w:rPr>
            </w:pPr>
            <w:r w:rsidRPr="006A77D5">
              <w:rPr>
                <w:sz w:val="20"/>
                <w:szCs w:val="20"/>
                <w:highlight w:val="magenta"/>
              </w:rPr>
              <w:t>None</w:t>
            </w:r>
          </w:p>
        </w:tc>
        <w:tc>
          <w:tcPr>
            <w:tcW w:w="1870" w:type="dxa"/>
          </w:tcPr>
          <w:p w:rsidR="004F3BA4" w:rsidRPr="006A77D5" w:rsidRDefault="004F3BA4" w:rsidP="001420C4">
            <w:pPr>
              <w:pStyle w:val="RepStandard"/>
              <w:jc w:val="left"/>
              <w:rPr>
                <w:sz w:val="20"/>
                <w:szCs w:val="20"/>
                <w:highlight w:val="magenta"/>
              </w:rPr>
            </w:pPr>
            <w:r w:rsidRPr="006A77D5">
              <w:rPr>
                <w:sz w:val="20"/>
                <w:szCs w:val="20"/>
                <w:highlight w:val="magenta"/>
              </w:rPr>
              <w:t>No classification</w:t>
            </w:r>
          </w:p>
        </w:tc>
      </w:tr>
      <w:tr w:rsidR="0095211F" w:rsidTr="0095211F">
        <w:tc>
          <w:tcPr>
            <w:tcW w:w="1869" w:type="dxa"/>
          </w:tcPr>
          <w:p w:rsidR="0095211F" w:rsidRPr="00D25689" w:rsidRDefault="0095211F" w:rsidP="001420C4">
            <w:pPr>
              <w:pStyle w:val="RepStandard"/>
              <w:jc w:val="left"/>
              <w:rPr>
                <w:sz w:val="20"/>
                <w:szCs w:val="20"/>
              </w:rPr>
            </w:pPr>
            <w:r w:rsidRPr="00D25689">
              <w:rPr>
                <w:sz w:val="20"/>
                <w:szCs w:val="20"/>
              </w:rPr>
              <w:t>Acute skin irritation</w:t>
            </w:r>
          </w:p>
        </w:tc>
        <w:tc>
          <w:tcPr>
            <w:tcW w:w="1869" w:type="dxa"/>
          </w:tcPr>
          <w:p w:rsidR="0095211F" w:rsidRPr="00D25689" w:rsidRDefault="009F798F" w:rsidP="001420C4">
            <w:pPr>
              <w:pStyle w:val="RepStandard"/>
              <w:jc w:val="left"/>
              <w:rPr>
                <w:sz w:val="20"/>
                <w:szCs w:val="20"/>
              </w:rPr>
            </w:pPr>
            <w:r w:rsidRPr="00D25689">
              <w:rPr>
                <w:sz w:val="20"/>
                <w:szCs w:val="20"/>
              </w:rPr>
              <w:t>Anon, 2004a</w:t>
            </w:r>
          </w:p>
        </w:tc>
        <w:tc>
          <w:tcPr>
            <w:tcW w:w="1870" w:type="dxa"/>
          </w:tcPr>
          <w:p w:rsidR="0095211F" w:rsidRPr="00D25689" w:rsidRDefault="0095211F" w:rsidP="001420C4">
            <w:pPr>
              <w:pStyle w:val="RepStandard"/>
              <w:jc w:val="left"/>
              <w:rPr>
                <w:sz w:val="20"/>
                <w:szCs w:val="20"/>
              </w:rPr>
            </w:pPr>
            <w:r w:rsidRPr="00D25689">
              <w:rPr>
                <w:sz w:val="20"/>
                <w:szCs w:val="20"/>
              </w:rPr>
              <w:t>Rabbit (Female)</w:t>
            </w:r>
          </w:p>
        </w:tc>
        <w:tc>
          <w:tcPr>
            <w:tcW w:w="1870" w:type="dxa"/>
          </w:tcPr>
          <w:p w:rsidR="0095211F" w:rsidRPr="00D25689" w:rsidRDefault="0095211F" w:rsidP="001420C4">
            <w:pPr>
              <w:pStyle w:val="RepStandard"/>
              <w:jc w:val="left"/>
              <w:rPr>
                <w:sz w:val="20"/>
                <w:szCs w:val="20"/>
              </w:rPr>
            </w:pPr>
            <w:r w:rsidRPr="00D25689">
              <w:rPr>
                <w:sz w:val="20"/>
                <w:szCs w:val="20"/>
              </w:rPr>
              <w:t>Non irritating</w:t>
            </w:r>
          </w:p>
        </w:tc>
        <w:tc>
          <w:tcPr>
            <w:tcW w:w="1870" w:type="dxa"/>
          </w:tcPr>
          <w:p w:rsidR="0095211F" w:rsidRPr="00D25689" w:rsidRDefault="0095211F" w:rsidP="001420C4">
            <w:pPr>
              <w:pStyle w:val="RepStandard"/>
              <w:jc w:val="left"/>
              <w:rPr>
                <w:sz w:val="20"/>
                <w:szCs w:val="20"/>
              </w:rPr>
            </w:pPr>
            <w:r w:rsidRPr="00D25689">
              <w:rPr>
                <w:sz w:val="20"/>
                <w:szCs w:val="20"/>
              </w:rPr>
              <w:t>No classification</w:t>
            </w:r>
          </w:p>
        </w:tc>
      </w:tr>
      <w:tr w:rsidR="0095211F" w:rsidTr="0095211F">
        <w:tc>
          <w:tcPr>
            <w:tcW w:w="1869" w:type="dxa"/>
          </w:tcPr>
          <w:p w:rsidR="0095211F" w:rsidRPr="00D25689" w:rsidRDefault="0095211F" w:rsidP="001420C4">
            <w:pPr>
              <w:pStyle w:val="RepStandard"/>
              <w:jc w:val="left"/>
              <w:rPr>
                <w:sz w:val="20"/>
                <w:szCs w:val="20"/>
              </w:rPr>
            </w:pPr>
            <w:r w:rsidRPr="00D25689">
              <w:rPr>
                <w:sz w:val="20"/>
                <w:szCs w:val="20"/>
              </w:rPr>
              <w:t>Acute eye irritation</w:t>
            </w:r>
          </w:p>
        </w:tc>
        <w:tc>
          <w:tcPr>
            <w:tcW w:w="1869" w:type="dxa"/>
          </w:tcPr>
          <w:p w:rsidR="0095211F" w:rsidRPr="00D25689" w:rsidRDefault="009F798F" w:rsidP="001420C4">
            <w:pPr>
              <w:pStyle w:val="RepStandard"/>
              <w:jc w:val="left"/>
              <w:rPr>
                <w:sz w:val="20"/>
                <w:szCs w:val="20"/>
              </w:rPr>
            </w:pPr>
            <w:r w:rsidRPr="00D25689">
              <w:rPr>
                <w:sz w:val="20"/>
                <w:szCs w:val="20"/>
              </w:rPr>
              <w:t>Anon, 2004b</w:t>
            </w:r>
          </w:p>
        </w:tc>
        <w:tc>
          <w:tcPr>
            <w:tcW w:w="1870" w:type="dxa"/>
          </w:tcPr>
          <w:p w:rsidR="0095211F" w:rsidRPr="00D25689" w:rsidRDefault="0095211F" w:rsidP="001420C4">
            <w:pPr>
              <w:pStyle w:val="RepStandard"/>
              <w:jc w:val="left"/>
              <w:rPr>
                <w:sz w:val="20"/>
                <w:szCs w:val="20"/>
              </w:rPr>
            </w:pPr>
            <w:r w:rsidRPr="00D25689">
              <w:rPr>
                <w:sz w:val="20"/>
                <w:szCs w:val="20"/>
              </w:rPr>
              <w:t>Rabbit (Female)</w:t>
            </w:r>
          </w:p>
        </w:tc>
        <w:tc>
          <w:tcPr>
            <w:tcW w:w="1870" w:type="dxa"/>
          </w:tcPr>
          <w:p w:rsidR="0095211F" w:rsidRPr="00D25689" w:rsidRDefault="0090208C" w:rsidP="001420C4">
            <w:pPr>
              <w:pStyle w:val="RepStandard"/>
              <w:jc w:val="left"/>
              <w:rPr>
                <w:sz w:val="20"/>
                <w:szCs w:val="20"/>
              </w:rPr>
            </w:pPr>
            <w:r w:rsidRPr="00D25689">
              <w:rPr>
                <w:sz w:val="20"/>
                <w:szCs w:val="20"/>
              </w:rPr>
              <w:t>Irritating</w:t>
            </w:r>
          </w:p>
        </w:tc>
        <w:tc>
          <w:tcPr>
            <w:tcW w:w="1870" w:type="dxa"/>
          </w:tcPr>
          <w:p w:rsidR="0095211F" w:rsidRPr="00D25689" w:rsidRDefault="0095211F" w:rsidP="001420C4">
            <w:pPr>
              <w:pStyle w:val="RepStandard"/>
              <w:jc w:val="left"/>
              <w:rPr>
                <w:sz w:val="20"/>
                <w:szCs w:val="20"/>
              </w:rPr>
            </w:pPr>
            <w:r w:rsidRPr="00D25689">
              <w:rPr>
                <w:sz w:val="20"/>
                <w:szCs w:val="20"/>
              </w:rPr>
              <w:t>Eye Irrit.2/ H319- Causes serious eye irritation</w:t>
            </w:r>
          </w:p>
        </w:tc>
      </w:tr>
      <w:tr w:rsidR="0095211F" w:rsidTr="0095211F">
        <w:tc>
          <w:tcPr>
            <w:tcW w:w="1869" w:type="dxa"/>
          </w:tcPr>
          <w:p w:rsidR="0095211F" w:rsidRPr="00D25689" w:rsidRDefault="0095211F" w:rsidP="001420C4">
            <w:pPr>
              <w:pStyle w:val="RepStandard"/>
              <w:jc w:val="left"/>
              <w:rPr>
                <w:sz w:val="20"/>
                <w:szCs w:val="20"/>
              </w:rPr>
            </w:pPr>
            <w:r w:rsidRPr="00D25689">
              <w:rPr>
                <w:sz w:val="20"/>
                <w:szCs w:val="20"/>
              </w:rPr>
              <w:t>Buehler Skin sensitization</w:t>
            </w:r>
          </w:p>
        </w:tc>
        <w:tc>
          <w:tcPr>
            <w:tcW w:w="1869" w:type="dxa"/>
          </w:tcPr>
          <w:p w:rsidR="0095211F" w:rsidRPr="00D25689" w:rsidRDefault="009F798F" w:rsidP="001420C4">
            <w:pPr>
              <w:pStyle w:val="RepStandard"/>
              <w:jc w:val="left"/>
              <w:rPr>
                <w:sz w:val="20"/>
                <w:szCs w:val="20"/>
              </w:rPr>
            </w:pPr>
            <w:r w:rsidRPr="00D25689">
              <w:rPr>
                <w:sz w:val="20"/>
                <w:szCs w:val="20"/>
              </w:rPr>
              <w:t>Anon, 2004c</w:t>
            </w:r>
          </w:p>
        </w:tc>
        <w:tc>
          <w:tcPr>
            <w:tcW w:w="1870" w:type="dxa"/>
          </w:tcPr>
          <w:p w:rsidR="0095211F" w:rsidRPr="00D25689" w:rsidRDefault="0095211F" w:rsidP="001420C4">
            <w:pPr>
              <w:pStyle w:val="RepStandard"/>
              <w:jc w:val="left"/>
              <w:rPr>
                <w:sz w:val="20"/>
                <w:szCs w:val="20"/>
              </w:rPr>
            </w:pPr>
            <w:r w:rsidRPr="00D25689">
              <w:rPr>
                <w:sz w:val="20"/>
                <w:szCs w:val="20"/>
              </w:rPr>
              <w:t>Guinea pig (Female)</w:t>
            </w:r>
          </w:p>
        </w:tc>
        <w:tc>
          <w:tcPr>
            <w:tcW w:w="1870" w:type="dxa"/>
          </w:tcPr>
          <w:p w:rsidR="0095211F" w:rsidRPr="00D25689" w:rsidRDefault="0095211F" w:rsidP="001420C4">
            <w:pPr>
              <w:pStyle w:val="RepStandard"/>
              <w:jc w:val="left"/>
              <w:rPr>
                <w:sz w:val="20"/>
                <w:szCs w:val="20"/>
              </w:rPr>
            </w:pPr>
            <w:r w:rsidRPr="00D25689">
              <w:rPr>
                <w:sz w:val="20"/>
                <w:szCs w:val="20"/>
              </w:rPr>
              <w:t>Non sensitising</w:t>
            </w:r>
          </w:p>
        </w:tc>
        <w:tc>
          <w:tcPr>
            <w:tcW w:w="1870" w:type="dxa"/>
          </w:tcPr>
          <w:p w:rsidR="0095211F" w:rsidRPr="00D25689" w:rsidRDefault="0095211F" w:rsidP="001420C4">
            <w:pPr>
              <w:pStyle w:val="RepStandard"/>
              <w:jc w:val="left"/>
              <w:rPr>
                <w:sz w:val="20"/>
                <w:szCs w:val="20"/>
              </w:rPr>
            </w:pPr>
            <w:r w:rsidRPr="00D25689">
              <w:rPr>
                <w:sz w:val="20"/>
                <w:szCs w:val="20"/>
              </w:rPr>
              <w:t>No classification</w:t>
            </w:r>
          </w:p>
        </w:tc>
      </w:tr>
    </w:tbl>
    <w:p w:rsidR="004131DB" w:rsidRDefault="004131DB" w:rsidP="004131DB">
      <w:pPr>
        <w:pStyle w:val="RepStandard"/>
      </w:pPr>
      <w:bookmarkStart w:id="123" w:name="_Toc326679737"/>
      <w:bookmarkStart w:id="124" w:name="_Toc332296158"/>
      <w:bookmarkStart w:id="125" w:name="_Toc336434725"/>
      <w:bookmarkStart w:id="126" w:name="_Toc397516876"/>
      <w:bookmarkStart w:id="127" w:name="_Toc398627856"/>
      <w:bookmarkStart w:id="128" w:name="_Toc399335711"/>
      <w:bookmarkStart w:id="129" w:name="_Toc399764851"/>
      <w:bookmarkStart w:id="130" w:name="_Toc412562643"/>
      <w:bookmarkStart w:id="131" w:name="_Toc412562720"/>
      <w:bookmarkStart w:id="132" w:name="_Toc413662712"/>
      <w:bookmarkStart w:id="133" w:name="_Toc413673569"/>
      <w:bookmarkStart w:id="134" w:name="_Toc413673667"/>
      <w:bookmarkStart w:id="135" w:name="_Toc413673738"/>
      <w:bookmarkStart w:id="136" w:name="_Toc413928637"/>
      <w:bookmarkStart w:id="137" w:name="_Toc413936251"/>
      <w:bookmarkStart w:id="138" w:name="_Toc413937962"/>
      <w:bookmarkStart w:id="139" w:name="_Toc414026689"/>
      <w:bookmarkStart w:id="140" w:name="_Toc414974068"/>
      <w:bookmarkStart w:id="141" w:name="_Toc450900942"/>
      <w:bookmarkStart w:id="142" w:name="_Toc450920608"/>
      <w:bookmarkStart w:id="143" w:name="_Toc450923729"/>
      <w:bookmarkStart w:id="144" w:name="_Toc454460962"/>
      <w:bookmarkStart w:id="145" w:name="_Toc454462798"/>
      <w:bookmarkEnd w:id="121"/>
      <w:bookmarkEnd w:id="122"/>
    </w:p>
    <w:p w:rsidR="00C02787" w:rsidRDefault="00C02787" w:rsidP="004131DB">
      <w:pPr>
        <w:pStyle w:val="RepStandard"/>
      </w:pPr>
      <w:r>
        <w:t xml:space="preserve">The information presented above in </w:t>
      </w:r>
      <w:r w:rsidRPr="00C02787">
        <w:t>Table 6.3-1</w:t>
      </w:r>
      <w:r>
        <w:t xml:space="preserve"> concludes product 054-01-05 will be classified </w:t>
      </w:r>
      <w:r w:rsidR="008B42BB">
        <w:t xml:space="preserve">H319/Eye </w:t>
      </w:r>
      <w:proofErr w:type="spellStart"/>
      <w:r w:rsidR="008B42BB">
        <w:t>Irrit</w:t>
      </w:r>
      <w:proofErr w:type="spellEnd"/>
      <w:r w:rsidR="008B42BB">
        <w:t>. 2.</w:t>
      </w:r>
    </w:p>
    <w:p w:rsidR="00077E06" w:rsidRPr="00077E06" w:rsidRDefault="00077E06" w:rsidP="00077E06">
      <w:pPr>
        <w:keepNext/>
        <w:keepLines/>
        <w:spacing w:before="240" w:after="104" w:line="248" w:lineRule="auto"/>
        <w:ind w:left="1977" w:hanging="1985"/>
        <w:jc w:val="both"/>
        <w:outlineLvl w:val="6"/>
        <w:rPr>
          <w:b/>
          <w:color w:val="000000"/>
          <w:kern w:val="2"/>
          <w:lang w:val="en-IE" w:eastAsia="en-IE"/>
        </w:rPr>
      </w:pPr>
      <w:r w:rsidRPr="00077E06">
        <w:rPr>
          <w:b/>
          <w:color w:val="000000"/>
          <w:kern w:val="2"/>
          <w:lang w:val="en-IE" w:eastAsia="en-IE"/>
        </w:rPr>
        <w:t xml:space="preserve">Table 6.3-2: </w:t>
      </w:r>
      <w:r w:rsidRPr="00077E06">
        <w:rPr>
          <w:b/>
          <w:color w:val="000000"/>
          <w:kern w:val="2"/>
          <w:lang w:val="en-IE" w:eastAsia="en-IE"/>
        </w:rPr>
        <w:tab/>
        <w:t xml:space="preserve">Additional toxicological information relevant for classification/labelling of </w:t>
      </w:r>
      <w:r w:rsidR="00113343" w:rsidRPr="00113343">
        <w:rPr>
          <w:b/>
          <w:color w:val="000000"/>
          <w:kern w:val="2"/>
          <w:lang w:eastAsia="en-IE"/>
        </w:rPr>
        <w:t>054-01-05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034"/>
        <w:gridCol w:w="1524"/>
        <w:gridCol w:w="2292"/>
        <w:gridCol w:w="1364"/>
        <w:gridCol w:w="2258"/>
      </w:tblGrid>
      <w:tr w:rsidR="00F90D79" w:rsidRPr="00B32849" w:rsidTr="00F90D79">
        <w:trPr>
          <w:tblHeader/>
        </w:trPr>
        <w:tc>
          <w:tcPr>
            <w:tcW w:w="1073" w:type="pct"/>
          </w:tcPr>
          <w:p w:rsidR="00077E06" w:rsidRPr="00B32849" w:rsidRDefault="00077E06" w:rsidP="001D131F">
            <w:pPr>
              <w:pStyle w:val="RepTableHeader"/>
              <w:spacing w:before="0" w:after="0"/>
              <w:jc w:val="center"/>
              <w:rPr>
                <w:lang w:val="en-GB"/>
              </w:rPr>
            </w:pPr>
          </w:p>
        </w:tc>
        <w:tc>
          <w:tcPr>
            <w:tcW w:w="804" w:type="pct"/>
          </w:tcPr>
          <w:p w:rsidR="00077E06" w:rsidRPr="00B32849" w:rsidRDefault="00077E06" w:rsidP="001D131F">
            <w:pPr>
              <w:pStyle w:val="RepTableHeader"/>
              <w:spacing w:before="0" w:after="0"/>
              <w:jc w:val="center"/>
              <w:rPr>
                <w:lang w:val="en-GB"/>
              </w:rPr>
            </w:pPr>
            <w:r w:rsidRPr="00B32849">
              <w:rPr>
                <w:lang w:val="en-GB"/>
              </w:rPr>
              <w:t>Substance</w:t>
            </w:r>
            <w:r w:rsidRPr="00B32849">
              <w:rPr>
                <w:lang w:val="en-GB"/>
              </w:rPr>
              <w:br/>
              <w:t>(</w:t>
            </w:r>
            <w:r>
              <w:rPr>
                <w:lang w:val="en-GB"/>
              </w:rPr>
              <w:t>c</w:t>
            </w:r>
            <w:r w:rsidRPr="00B32849">
              <w:rPr>
                <w:lang w:val="en-GB"/>
              </w:rPr>
              <w:t>oncentration in product, % w/w)</w:t>
            </w:r>
          </w:p>
        </w:tc>
        <w:tc>
          <w:tcPr>
            <w:tcW w:w="1210" w:type="pct"/>
          </w:tcPr>
          <w:p w:rsidR="00077E06" w:rsidRPr="00B32849" w:rsidRDefault="00077E06" w:rsidP="001D131F">
            <w:pPr>
              <w:pStyle w:val="RepTableHeader"/>
              <w:spacing w:before="0" w:after="0"/>
              <w:jc w:val="center"/>
              <w:rPr>
                <w:lang w:val="en-GB"/>
              </w:rPr>
            </w:pPr>
            <w:r w:rsidRPr="00B32849">
              <w:rPr>
                <w:lang w:val="en-GB"/>
              </w:rPr>
              <w:t xml:space="preserve">Classification of the </w:t>
            </w:r>
            <w:r w:rsidRPr="00B32849">
              <w:rPr>
                <w:lang w:val="en-GB"/>
              </w:rPr>
              <w:br/>
              <w:t xml:space="preserve">substance </w:t>
            </w:r>
            <w:r w:rsidRPr="00B32849">
              <w:rPr>
                <w:lang w:val="en-GB"/>
              </w:rPr>
              <w:br/>
              <w:t>(acc. to the criteria in Reg. 1272/2008)</w:t>
            </w:r>
          </w:p>
        </w:tc>
        <w:tc>
          <w:tcPr>
            <w:tcW w:w="720" w:type="pct"/>
          </w:tcPr>
          <w:p w:rsidR="00077E06" w:rsidRPr="00B32849" w:rsidRDefault="00077E06" w:rsidP="001D131F">
            <w:pPr>
              <w:pStyle w:val="RepTableHeader"/>
              <w:spacing w:before="0" w:after="0"/>
              <w:jc w:val="center"/>
              <w:rPr>
                <w:lang w:val="en-GB"/>
              </w:rPr>
            </w:pPr>
            <w:r w:rsidRPr="00B32849">
              <w:rPr>
                <w:lang w:val="en-GB"/>
              </w:rPr>
              <w:t>Reference</w:t>
            </w:r>
          </w:p>
        </w:tc>
        <w:tc>
          <w:tcPr>
            <w:tcW w:w="1192" w:type="pct"/>
          </w:tcPr>
          <w:p w:rsidR="00077E06" w:rsidRPr="00B32849" w:rsidRDefault="00077E06" w:rsidP="001D131F">
            <w:pPr>
              <w:pStyle w:val="RepTableHeader"/>
              <w:spacing w:before="0" w:after="0"/>
              <w:jc w:val="center"/>
              <w:rPr>
                <w:lang w:val="en-GB"/>
              </w:rPr>
            </w:pPr>
            <w:r w:rsidRPr="00B32849">
              <w:rPr>
                <w:lang w:val="en-GB"/>
              </w:rPr>
              <w:t>Classification of product (acc. to the criteria in Reg. 1272/2008)</w:t>
            </w:r>
          </w:p>
        </w:tc>
      </w:tr>
      <w:tr w:rsidR="00F90D79" w:rsidRPr="00B32849" w:rsidTr="00F90D79">
        <w:tc>
          <w:tcPr>
            <w:tcW w:w="1073" w:type="pct"/>
          </w:tcPr>
          <w:p w:rsidR="00077E06" w:rsidRPr="00BF1F3E" w:rsidRDefault="00077E06" w:rsidP="001D131F">
            <w:pPr>
              <w:pStyle w:val="RepTable"/>
            </w:pPr>
            <w:r w:rsidRPr="00BF1F3E">
              <w:t>Toxicological properties of active substance(s) (relevant for classification of product)</w:t>
            </w:r>
          </w:p>
        </w:tc>
        <w:tc>
          <w:tcPr>
            <w:tcW w:w="804" w:type="pct"/>
          </w:tcPr>
          <w:p w:rsidR="00077E06" w:rsidRPr="001A6614" w:rsidRDefault="00077E06" w:rsidP="001D131F">
            <w:pPr>
              <w:pStyle w:val="RepTable"/>
            </w:pPr>
            <w:r w:rsidRPr="001A6614">
              <w:rPr>
                <w:lang w:val="en-US"/>
              </w:rPr>
              <w:t>Mesosulfuron-methyl</w:t>
            </w:r>
            <w:r w:rsidRPr="001A6614">
              <w:br/>
              <w:t>(</w:t>
            </w:r>
            <w:r w:rsidRPr="001A6614">
              <w:rPr>
                <w:lang w:val="en-US"/>
              </w:rPr>
              <w:t xml:space="preserve">CAS No. 208465-19-4, </w:t>
            </w:r>
            <w:r w:rsidRPr="001A6614">
              <w:t>1.0% (w/w))</w:t>
            </w:r>
          </w:p>
        </w:tc>
        <w:tc>
          <w:tcPr>
            <w:tcW w:w="1210" w:type="pct"/>
            <w:vAlign w:val="center"/>
          </w:tcPr>
          <w:p w:rsidR="00077E06" w:rsidRPr="001A6614" w:rsidRDefault="00077E06" w:rsidP="001D131F">
            <w:pPr>
              <w:pStyle w:val="RepTable"/>
            </w:pPr>
            <w:r w:rsidRPr="001A6614">
              <w:t>None</w:t>
            </w:r>
          </w:p>
        </w:tc>
        <w:tc>
          <w:tcPr>
            <w:tcW w:w="720" w:type="pct"/>
            <w:vAlign w:val="center"/>
          </w:tcPr>
          <w:p w:rsidR="00077E06" w:rsidRPr="001A6614" w:rsidRDefault="00077E06" w:rsidP="001D131F">
            <w:pPr>
              <w:pStyle w:val="RepTable"/>
            </w:pPr>
            <w:r w:rsidRPr="001A6614">
              <w:t>Reg. 1272/2008</w:t>
            </w:r>
          </w:p>
        </w:tc>
        <w:tc>
          <w:tcPr>
            <w:tcW w:w="1192" w:type="pct"/>
            <w:vAlign w:val="center"/>
          </w:tcPr>
          <w:p w:rsidR="00077E06" w:rsidRPr="00BF1F3E" w:rsidRDefault="00077E06" w:rsidP="001D131F">
            <w:pPr>
              <w:pStyle w:val="RepTable"/>
            </w:pPr>
            <w:r w:rsidRPr="00BF1F3E">
              <w:t>None</w:t>
            </w:r>
          </w:p>
        </w:tc>
      </w:tr>
      <w:tr w:rsidR="00F90D79" w:rsidRPr="00B32849" w:rsidTr="00F90D79">
        <w:tc>
          <w:tcPr>
            <w:tcW w:w="1073" w:type="pct"/>
          </w:tcPr>
          <w:p w:rsidR="00077E06" w:rsidRPr="00BF1F3E" w:rsidRDefault="00077E06" w:rsidP="001D131F">
            <w:pPr>
              <w:pStyle w:val="RepTable"/>
            </w:pPr>
          </w:p>
        </w:tc>
        <w:tc>
          <w:tcPr>
            <w:tcW w:w="804" w:type="pct"/>
          </w:tcPr>
          <w:p w:rsidR="00077E06" w:rsidRPr="000203C7" w:rsidRDefault="00077E06" w:rsidP="001D131F">
            <w:pPr>
              <w:pStyle w:val="RepTable"/>
              <w:rPr>
                <w:lang w:val="pl-PL"/>
              </w:rPr>
            </w:pPr>
            <w:r w:rsidRPr="000203C7">
              <w:rPr>
                <w:lang w:val="pl-PL"/>
              </w:rPr>
              <w:t>Iodosulfuron-methyl-sodium</w:t>
            </w:r>
          </w:p>
          <w:p w:rsidR="00077E06" w:rsidRPr="000203C7" w:rsidRDefault="00077E06" w:rsidP="001D131F">
            <w:pPr>
              <w:pStyle w:val="RepTable"/>
              <w:suppressAutoHyphens/>
              <w:rPr>
                <w:lang w:val="pl-PL"/>
              </w:rPr>
            </w:pPr>
            <w:r w:rsidRPr="000203C7">
              <w:rPr>
                <w:lang w:val="pl-PL"/>
              </w:rPr>
              <w:t>(CAS No. 144550-36-7, 0.2% (w/w))</w:t>
            </w:r>
          </w:p>
        </w:tc>
        <w:tc>
          <w:tcPr>
            <w:tcW w:w="1210" w:type="pct"/>
            <w:vAlign w:val="center"/>
          </w:tcPr>
          <w:p w:rsidR="00077E06" w:rsidRPr="001A6614" w:rsidRDefault="00077E06" w:rsidP="001D131F">
            <w:pPr>
              <w:pStyle w:val="RepTable"/>
            </w:pPr>
            <w:r w:rsidRPr="001A6614">
              <w:rPr>
                <w:lang w:val="en-US"/>
              </w:rPr>
              <w:t>None</w:t>
            </w:r>
          </w:p>
        </w:tc>
        <w:tc>
          <w:tcPr>
            <w:tcW w:w="720" w:type="pct"/>
            <w:vAlign w:val="center"/>
          </w:tcPr>
          <w:p w:rsidR="00077E06" w:rsidRPr="001A6614" w:rsidRDefault="00077E06" w:rsidP="001D131F">
            <w:pPr>
              <w:pStyle w:val="RepTable"/>
              <w:rPr>
                <w:lang w:val="en-US"/>
              </w:rPr>
            </w:pPr>
            <w:r w:rsidRPr="001A6614">
              <w:rPr>
                <w:lang w:val="en-US"/>
              </w:rPr>
              <w:t>Reg. 1272/2008</w:t>
            </w:r>
          </w:p>
        </w:tc>
        <w:tc>
          <w:tcPr>
            <w:tcW w:w="1192" w:type="pct"/>
            <w:vAlign w:val="center"/>
          </w:tcPr>
          <w:p w:rsidR="00077E06" w:rsidRPr="00BF1F3E" w:rsidRDefault="00077E06" w:rsidP="001D131F">
            <w:pPr>
              <w:pStyle w:val="RepTable"/>
            </w:pPr>
            <w:r w:rsidRPr="00BF1F3E">
              <w:rPr>
                <w:lang w:val="en-US"/>
              </w:rPr>
              <w:t>None</w:t>
            </w:r>
          </w:p>
        </w:tc>
      </w:tr>
      <w:tr w:rsidR="00F90D79" w:rsidRPr="00B32849" w:rsidTr="00F90D79">
        <w:tc>
          <w:tcPr>
            <w:tcW w:w="1073" w:type="pct"/>
          </w:tcPr>
          <w:p w:rsidR="00077E06" w:rsidRPr="00BF1F3E" w:rsidRDefault="00077E06" w:rsidP="001D131F">
            <w:pPr>
              <w:pStyle w:val="RepTable"/>
            </w:pPr>
            <w:r w:rsidRPr="00BF1F3E">
              <w:t>Toxicological properties of non-active substance(s) (relevant for classification of product)</w:t>
            </w:r>
          </w:p>
        </w:tc>
        <w:tc>
          <w:tcPr>
            <w:tcW w:w="804" w:type="pct"/>
          </w:tcPr>
          <w:p w:rsidR="00077E06" w:rsidRPr="001A6614" w:rsidRDefault="00077E06" w:rsidP="001D131F">
            <w:pPr>
              <w:pStyle w:val="RepTable"/>
              <w:rPr>
                <w:lang w:val="en-US"/>
              </w:rPr>
            </w:pPr>
            <w:r w:rsidRPr="001A6614">
              <w:rPr>
                <w:lang w:val="en-US"/>
              </w:rPr>
              <w:t>Safener - Mefenpyr-diethyl</w:t>
            </w:r>
          </w:p>
          <w:p w:rsidR="00077E06" w:rsidRPr="001A6614" w:rsidRDefault="00077E06" w:rsidP="001D131F">
            <w:pPr>
              <w:pStyle w:val="RepTable"/>
            </w:pPr>
            <w:r w:rsidRPr="001A6614">
              <w:rPr>
                <w:lang w:val="en-US"/>
              </w:rPr>
              <w:t>(CAS No. 135590-91-9, 3.0% (w/w))</w:t>
            </w:r>
          </w:p>
        </w:tc>
        <w:tc>
          <w:tcPr>
            <w:tcW w:w="1210" w:type="pct"/>
            <w:vAlign w:val="center"/>
          </w:tcPr>
          <w:p w:rsidR="00077E06" w:rsidRPr="001A6614" w:rsidRDefault="00077E06" w:rsidP="001D131F">
            <w:pPr>
              <w:pStyle w:val="RepTable"/>
            </w:pPr>
            <w:r w:rsidRPr="001A6614">
              <w:t>None</w:t>
            </w:r>
          </w:p>
        </w:tc>
        <w:tc>
          <w:tcPr>
            <w:tcW w:w="720" w:type="pct"/>
            <w:vAlign w:val="center"/>
          </w:tcPr>
          <w:p w:rsidR="00077E06" w:rsidRPr="001A6614" w:rsidRDefault="00077E06" w:rsidP="001D131F">
            <w:pPr>
              <w:pStyle w:val="RepTable"/>
            </w:pPr>
            <w:r w:rsidRPr="001A6614">
              <w:rPr>
                <w:lang w:val="en-US"/>
              </w:rPr>
              <w:t>FAO specification and evaluations for agricultural pesticides (mefenpyr-diethyl); DAR (2011)</w:t>
            </w:r>
          </w:p>
        </w:tc>
        <w:tc>
          <w:tcPr>
            <w:tcW w:w="1192" w:type="pct"/>
            <w:vAlign w:val="center"/>
          </w:tcPr>
          <w:p w:rsidR="00077E06" w:rsidRPr="001A6614" w:rsidRDefault="00077E06" w:rsidP="001D131F">
            <w:pPr>
              <w:pStyle w:val="RepTable"/>
              <w:rPr>
                <w:lang w:val="en-US"/>
              </w:rPr>
            </w:pPr>
            <w:r w:rsidRPr="001A6614">
              <w:rPr>
                <w:lang w:val="en-US"/>
              </w:rPr>
              <w:t>None</w:t>
            </w:r>
          </w:p>
          <w:p w:rsidR="00077E06" w:rsidRPr="001A6614" w:rsidRDefault="00077E06" w:rsidP="001D131F">
            <w:pPr>
              <w:pStyle w:val="RepTable"/>
            </w:pPr>
          </w:p>
        </w:tc>
      </w:tr>
      <w:tr w:rsidR="00F90D79" w:rsidRPr="00B32849" w:rsidTr="00F90D79">
        <w:tc>
          <w:tcPr>
            <w:tcW w:w="1073" w:type="pct"/>
          </w:tcPr>
          <w:p w:rsidR="00076468" w:rsidRPr="00BF1F3E" w:rsidRDefault="00076468" w:rsidP="00076468">
            <w:pPr>
              <w:pStyle w:val="RepTable"/>
            </w:pPr>
          </w:p>
        </w:tc>
        <w:tc>
          <w:tcPr>
            <w:tcW w:w="804" w:type="pct"/>
          </w:tcPr>
          <w:p w:rsidR="00076468" w:rsidRPr="001A6614" w:rsidRDefault="00076468" w:rsidP="00076468">
            <w:pPr>
              <w:pStyle w:val="RepTable"/>
              <w:rPr>
                <w:lang w:val="en-US"/>
              </w:rPr>
            </w:pPr>
            <w:r w:rsidRPr="00076468">
              <w:t>Solvent kerosene (oil, Petroleum) heavy aromatic hydrocarbons</w:t>
            </w:r>
            <w:r w:rsidRPr="00076468">
              <w:br/>
              <w:t>(CAS No. 64742-94-5, ≥ 25 % (w/w))</w:t>
            </w:r>
          </w:p>
        </w:tc>
        <w:tc>
          <w:tcPr>
            <w:tcW w:w="1210" w:type="pct"/>
            <w:vAlign w:val="center"/>
          </w:tcPr>
          <w:p w:rsidR="00076468" w:rsidRPr="00076468" w:rsidRDefault="00076468" w:rsidP="00076468">
            <w:pPr>
              <w:pStyle w:val="RepTable"/>
            </w:pPr>
            <w:r w:rsidRPr="00076468">
              <w:t>Asp. Tox. 1, H304</w:t>
            </w:r>
          </w:p>
        </w:tc>
        <w:tc>
          <w:tcPr>
            <w:tcW w:w="720" w:type="pct"/>
            <w:vAlign w:val="center"/>
          </w:tcPr>
          <w:p w:rsidR="00076468" w:rsidRPr="00076468" w:rsidRDefault="00076468" w:rsidP="00076468">
            <w:pPr>
              <w:pStyle w:val="RepTable"/>
              <w:rPr>
                <w:lang w:val="en-US"/>
              </w:rPr>
            </w:pPr>
            <w:r w:rsidRPr="00076468">
              <w:t>Reg. 1272/2008</w:t>
            </w:r>
          </w:p>
        </w:tc>
        <w:tc>
          <w:tcPr>
            <w:tcW w:w="1192" w:type="pct"/>
            <w:vAlign w:val="center"/>
          </w:tcPr>
          <w:p w:rsidR="00076468" w:rsidRPr="00076468" w:rsidRDefault="00076468" w:rsidP="00076468">
            <w:pPr>
              <w:pStyle w:val="RepTable"/>
              <w:rPr>
                <w:lang w:val="en-US"/>
              </w:rPr>
            </w:pPr>
            <w:r w:rsidRPr="00076468">
              <w:t>None</w:t>
            </w:r>
          </w:p>
        </w:tc>
      </w:tr>
      <w:tr w:rsidR="00F90D79" w:rsidRPr="00B32849" w:rsidTr="00F90D79">
        <w:tc>
          <w:tcPr>
            <w:tcW w:w="1073" w:type="pct"/>
          </w:tcPr>
          <w:p w:rsidR="00076468" w:rsidRPr="00BF1F3E" w:rsidRDefault="00076468" w:rsidP="00076468">
            <w:pPr>
              <w:pStyle w:val="RepTable"/>
            </w:pPr>
          </w:p>
        </w:tc>
        <w:tc>
          <w:tcPr>
            <w:tcW w:w="804" w:type="pct"/>
          </w:tcPr>
          <w:p w:rsidR="00076468" w:rsidRPr="00076468" w:rsidRDefault="00076468" w:rsidP="00076468">
            <w:pPr>
              <w:pStyle w:val="RepTable"/>
            </w:pPr>
            <w:r>
              <w:t>A</w:t>
            </w:r>
            <w:r w:rsidRPr="00076468">
              <w:t>lcohol</w:t>
            </w:r>
            <w:r>
              <w:t>, C11-14-iso-, C13, ethoxylated (</w:t>
            </w:r>
            <w:r w:rsidR="00E84BBA">
              <w:t>6</w:t>
            </w:r>
            <w:r>
              <w:t xml:space="preserve"> EO), m</w:t>
            </w:r>
            <w:r w:rsidRPr="00076468">
              <w:t>eth</w:t>
            </w:r>
            <w:r>
              <w:t xml:space="preserve">ylated (fatty alcohol ethoxylate – alkyl ether) </w:t>
            </w:r>
            <w:r w:rsidRPr="00076468">
              <w:t xml:space="preserve">(CAS No. 1492044-51-5, ≥ 10 – </w:t>
            </w:r>
            <w:r>
              <w:t xml:space="preserve">&lt; </w:t>
            </w:r>
            <w:r w:rsidRPr="00076468">
              <w:t>20 % (w/w))</w:t>
            </w:r>
          </w:p>
        </w:tc>
        <w:tc>
          <w:tcPr>
            <w:tcW w:w="1210" w:type="pct"/>
            <w:vAlign w:val="center"/>
          </w:tcPr>
          <w:p w:rsidR="00076468" w:rsidRPr="00076468" w:rsidRDefault="00076468" w:rsidP="00076468">
            <w:pPr>
              <w:pStyle w:val="RepTable"/>
              <w:rPr>
                <w:lang w:val="fr-FR"/>
              </w:rPr>
            </w:pPr>
            <w:r w:rsidRPr="00076468">
              <w:rPr>
                <w:lang w:val="fr-FR"/>
              </w:rPr>
              <w:t>Skin Sens. 1</w:t>
            </w:r>
            <w:r w:rsidR="00E84BBA">
              <w:rPr>
                <w:lang w:val="fr-FR"/>
              </w:rPr>
              <w:t>B</w:t>
            </w:r>
            <w:r w:rsidRPr="00076468">
              <w:rPr>
                <w:lang w:val="fr-FR"/>
              </w:rPr>
              <w:t>, H317</w:t>
            </w:r>
          </w:p>
          <w:p w:rsidR="00076468" w:rsidRPr="00076468" w:rsidRDefault="00076468" w:rsidP="00076468">
            <w:pPr>
              <w:pStyle w:val="RepTable"/>
            </w:pPr>
            <w:r w:rsidRPr="00076468">
              <w:rPr>
                <w:lang w:val="fr-FR"/>
              </w:rPr>
              <w:t>Eye Dam. 1, H318</w:t>
            </w:r>
          </w:p>
        </w:tc>
        <w:tc>
          <w:tcPr>
            <w:tcW w:w="720" w:type="pct"/>
            <w:vAlign w:val="center"/>
          </w:tcPr>
          <w:p w:rsidR="00076468" w:rsidRPr="00076468" w:rsidRDefault="00076468" w:rsidP="00076468">
            <w:pPr>
              <w:pStyle w:val="RepTable"/>
            </w:pPr>
            <w:r w:rsidRPr="00076468">
              <w:t>Reg. 1272/2008</w:t>
            </w:r>
          </w:p>
        </w:tc>
        <w:tc>
          <w:tcPr>
            <w:tcW w:w="1192" w:type="pct"/>
            <w:vAlign w:val="center"/>
          </w:tcPr>
          <w:p w:rsidR="00076468" w:rsidRPr="00076468" w:rsidRDefault="00076468" w:rsidP="00076468">
            <w:pPr>
              <w:pStyle w:val="RepTable"/>
            </w:pPr>
            <w:r w:rsidRPr="00076468">
              <w:rPr>
                <w:lang w:val="en-US"/>
              </w:rPr>
              <w:t>Eye irritation: Category 2, H319</w:t>
            </w:r>
          </w:p>
        </w:tc>
      </w:tr>
      <w:tr w:rsidR="00076468" w:rsidRPr="00B32849" w:rsidTr="00F90D79">
        <w:tc>
          <w:tcPr>
            <w:tcW w:w="1073" w:type="pct"/>
          </w:tcPr>
          <w:p w:rsidR="00076468" w:rsidRPr="00BF1F3E" w:rsidRDefault="00076468" w:rsidP="00076468">
            <w:pPr>
              <w:pStyle w:val="RepTable"/>
            </w:pPr>
          </w:p>
        </w:tc>
        <w:tc>
          <w:tcPr>
            <w:tcW w:w="804" w:type="pct"/>
          </w:tcPr>
          <w:p w:rsidR="00076468" w:rsidRPr="000203C7" w:rsidRDefault="00076468" w:rsidP="00076468">
            <w:pPr>
              <w:pStyle w:val="RepTable"/>
              <w:rPr>
                <w:lang w:val="pl-PL" w:eastAsia="ar-SA"/>
              </w:rPr>
            </w:pPr>
            <w:r w:rsidRPr="000203C7">
              <w:rPr>
                <w:lang w:val="pl-PL" w:eastAsia="ar-SA"/>
              </w:rPr>
              <w:t>Sodium docusate</w:t>
            </w:r>
          </w:p>
          <w:p w:rsidR="00076468" w:rsidRPr="000203C7" w:rsidRDefault="00076468" w:rsidP="00076468">
            <w:pPr>
              <w:pStyle w:val="RepTable"/>
              <w:rPr>
                <w:lang w:val="pl-PL"/>
              </w:rPr>
            </w:pPr>
            <w:r w:rsidRPr="000203C7">
              <w:rPr>
                <w:lang w:val="pl-PL"/>
              </w:rPr>
              <w:t>(CAS No. 577-11-7, &gt; 5.0 – &lt; 10 % (w/w))</w:t>
            </w:r>
          </w:p>
        </w:tc>
        <w:tc>
          <w:tcPr>
            <w:tcW w:w="1210" w:type="pct"/>
            <w:vAlign w:val="center"/>
          </w:tcPr>
          <w:p w:rsidR="00076468" w:rsidRPr="00076468" w:rsidRDefault="00076468" w:rsidP="00076468">
            <w:pPr>
              <w:pStyle w:val="RepTable"/>
            </w:pPr>
            <w:r w:rsidRPr="00076468">
              <w:t>Skin Irrit. 2, H315</w:t>
            </w:r>
          </w:p>
          <w:p w:rsidR="00076468" w:rsidRPr="00076468" w:rsidRDefault="00076468" w:rsidP="00076468">
            <w:pPr>
              <w:pStyle w:val="RepTable"/>
              <w:rPr>
                <w:lang w:val="fr-FR"/>
              </w:rPr>
            </w:pPr>
            <w:r w:rsidRPr="00076468">
              <w:t>Eye Dam. 1, H318</w:t>
            </w:r>
          </w:p>
        </w:tc>
        <w:tc>
          <w:tcPr>
            <w:tcW w:w="720" w:type="pct"/>
            <w:vAlign w:val="center"/>
          </w:tcPr>
          <w:p w:rsidR="00076468" w:rsidRPr="00076468" w:rsidRDefault="00076468" w:rsidP="00076468">
            <w:pPr>
              <w:pStyle w:val="RepTable"/>
            </w:pPr>
            <w:r w:rsidRPr="00076468">
              <w:rPr>
                <w:lang w:val="en-US"/>
              </w:rPr>
              <w:t>Reg. 1272/2008</w:t>
            </w:r>
          </w:p>
        </w:tc>
        <w:tc>
          <w:tcPr>
            <w:tcW w:w="1192" w:type="pct"/>
            <w:vAlign w:val="center"/>
          </w:tcPr>
          <w:p w:rsidR="00076468" w:rsidRPr="00076468" w:rsidRDefault="00076468" w:rsidP="00076468">
            <w:pPr>
              <w:pStyle w:val="RepTable"/>
              <w:rPr>
                <w:lang w:val="en-US"/>
              </w:rPr>
            </w:pPr>
            <w:r w:rsidRPr="00076468">
              <w:rPr>
                <w:lang w:val="en-US"/>
              </w:rPr>
              <w:t>Eye irritation: Category 2, H319</w:t>
            </w:r>
          </w:p>
        </w:tc>
      </w:tr>
      <w:tr w:rsidR="00F90D79" w:rsidRPr="00B32849" w:rsidTr="00F90D79">
        <w:tc>
          <w:tcPr>
            <w:tcW w:w="1073" w:type="pct"/>
          </w:tcPr>
          <w:p w:rsidR="00F90D79" w:rsidRPr="00BF1F3E" w:rsidRDefault="00F90D79" w:rsidP="00F90D79">
            <w:pPr>
              <w:pStyle w:val="RepTable"/>
            </w:pPr>
          </w:p>
        </w:tc>
        <w:tc>
          <w:tcPr>
            <w:tcW w:w="804" w:type="pct"/>
          </w:tcPr>
          <w:p w:rsidR="00F90D79" w:rsidRDefault="00F90D79" w:rsidP="00F90D79">
            <w:pPr>
              <w:pStyle w:val="RepTable"/>
              <w:rPr>
                <w:lang w:eastAsia="ar-SA"/>
              </w:rPr>
            </w:pPr>
            <w:r w:rsidRPr="00076468">
              <w:t xml:space="preserve">Solvent kerosene (oil, Petroleum) </w:t>
            </w:r>
            <w:r>
              <w:t>light</w:t>
            </w:r>
            <w:r w:rsidRPr="00076468">
              <w:t xml:space="preserve"> aromatic hydrocarbons</w:t>
            </w:r>
            <w:r w:rsidRPr="00076468">
              <w:br/>
            </w:r>
            <w:r w:rsidRPr="00F90D79">
              <w:rPr>
                <w:lang w:val="en-US"/>
              </w:rPr>
              <w:t xml:space="preserve">(CAS No. 64742-95-6, </w:t>
            </w:r>
            <w:r>
              <w:rPr>
                <w:lang w:val="en-US"/>
              </w:rPr>
              <w:t>&gt; 2</w:t>
            </w:r>
            <w:r w:rsidRPr="00F90D79">
              <w:rPr>
                <w:lang w:val="en-US"/>
              </w:rPr>
              <w:t xml:space="preserve">.0 – </w:t>
            </w:r>
            <w:r>
              <w:rPr>
                <w:lang w:val="en-US"/>
              </w:rPr>
              <w:t>&lt; 5</w:t>
            </w:r>
            <w:r w:rsidRPr="00F90D79">
              <w:rPr>
                <w:lang w:val="en-US"/>
              </w:rPr>
              <w:t>.0 % (w/w))</w:t>
            </w:r>
          </w:p>
        </w:tc>
        <w:tc>
          <w:tcPr>
            <w:tcW w:w="1210" w:type="pct"/>
            <w:vAlign w:val="center"/>
          </w:tcPr>
          <w:p w:rsidR="00F90D79" w:rsidRPr="00076468" w:rsidRDefault="00F90D79" w:rsidP="00F90D79">
            <w:pPr>
              <w:pStyle w:val="RepTable"/>
            </w:pPr>
            <w:r w:rsidRPr="00076468">
              <w:t>Asp. Tox. 1, H304</w:t>
            </w:r>
          </w:p>
        </w:tc>
        <w:tc>
          <w:tcPr>
            <w:tcW w:w="720" w:type="pct"/>
            <w:vAlign w:val="center"/>
          </w:tcPr>
          <w:p w:rsidR="00F90D79" w:rsidRPr="00076468" w:rsidRDefault="00F90D79" w:rsidP="00F90D79">
            <w:pPr>
              <w:pStyle w:val="RepTable"/>
              <w:rPr>
                <w:lang w:val="en-US"/>
              </w:rPr>
            </w:pPr>
            <w:r w:rsidRPr="00076468">
              <w:t>Reg. 1272/2008</w:t>
            </w:r>
          </w:p>
        </w:tc>
        <w:tc>
          <w:tcPr>
            <w:tcW w:w="1192" w:type="pct"/>
            <w:vAlign w:val="center"/>
          </w:tcPr>
          <w:p w:rsidR="00F90D79" w:rsidRPr="00076468" w:rsidRDefault="00F90D79" w:rsidP="00F90D79">
            <w:pPr>
              <w:pStyle w:val="RepTable"/>
              <w:rPr>
                <w:lang w:val="en-US"/>
              </w:rPr>
            </w:pPr>
            <w:r w:rsidRPr="00076468">
              <w:t>None</w:t>
            </w:r>
          </w:p>
        </w:tc>
      </w:tr>
      <w:tr w:rsidR="00F90D79" w:rsidRPr="00B32849" w:rsidTr="00F90D79">
        <w:tc>
          <w:tcPr>
            <w:tcW w:w="1073" w:type="pct"/>
          </w:tcPr>
          <w:p w:rsidR="00F90D79" w:rsidRPr="00BF1F3E" w:rsidRDefault="00F90D79" w:rsidP="00F90D79">
            <w:pPr>
              <w:pStyle w:val="RepTable"/>
            </w:pPr>
          </w:p>
        </w:tc>
        <w:tc>
          <w:tcPr>
            <w:tcW w:w="804" w:type="pct"/>
          </w:tcPr>
          <w:p w:rsidR="00F90D79" w:rsidRDefault="00F90D79" w:rsidP="00F90D79">
            <w:pPr>
              <w:pStyle w:val="RepTable"/>
            </w:pPr>
            <w:r>
              <w:t>1,2,4-trimethylbenzene</w:t>
            </w:r>
          </w:p>
          <w:p w:rsidR="00F90D79" w:rsidRPr="00076468" w:rsidRDefault="00F90D79" w:rsidP="00F90D79">
            <w:pPr>
              <w:pStyle w:val="RepTable"/>
            </w:pPr>
            <w:r>
              <w:t>(CAS No. 95-63-6, &gt; 1.0 - &lt; 5.0 % (w/w))</w:t>
            </w:r>
          </w:p>
        </w:tc>
        <w:tc>
          <w:tcPr>
            <w:tcW w:w="1210" w:type="pct"/>
            <w:vAlign w:val="center"/>
          </w:tcPr>
          <w:p w:rsidR="00F90D79" w:rsidRDefault="00F90D79" w:rsidP="00F90D79">
            <w:pPr>
              <w:pStyle w:val="RepTable"/>
              <w:rPr>
                <w:lang w:val="en-US"/>
              </w:rPr>
            </w:pPr>
            <w:r w:rsidRPr="00F90D79">
              <w:rPr>
                <w:lang w:val="en-US"/>
              </w:rPr>
              <w:t>Asp. Tox. 1, H304</w:t>
            </w:r>
          </w:p>
          <w:p w:rsidR="00F90D79" w:rsidRDefault="00F90D79" w:rsidP="00F90D79">
            <w:pPr>
              <w:pStyle w:val="RepTable"/>
            </w:pPr>
            <w:r>
              <w:t>Skin Irrit. 2, H315</w:t>
            </w:r>
          </w:p>
          <w:p w:rsidR="00F90D79" w:rsidRDefault="00F90D79" w:rsidP="00F90D79">
            <w:pPr>
              <w:pStyle w:val="RepTable"/>
            </w:pPr>
            <w:r>
              <w:t>Eye Irrit. 2, H319</w:t>
            </w:r>
          </w:p>
          <w:p w:rsidR="00F90D79" w:rsidRDefault="00F90D79" w:rsidP="00F90D79">
            <w:pPr>
              <w:pStyle w:val="RepTable"/>
            </w:pPr>
            <w:r>
              <w:t>Acute Tox. 4, H332</w:t>
            </w:r>
          </w:p>
          <w:p w:rsidR="00F90D79" w:rsidRPr="00076468" w:rsidRDefault="00F90D79" w:rsidP="00F90D79">
            <w:pPr>
              <w:pStyle w:val="RepTable"/>
            </w:pPr>
            <w:r>
              <w:t>STOT SE 3, H335</w:t>
            </w:r>
          </w:p>
        </w:tc>
        <w:tc>
          <w:tcPr>
            <w:tcW w:w="720" w:type="pct"/>
            <w:vAlign w:val="center"/>
          </w:tcPr>
          <w:p w:rsidR="00F90D79" w:rsidRPr="00076468" w:rsidRDefault="00F90D79" w:rsidP="00F90D79">
            <w:pPr>
              <w:pStyle w:val="RepTable"/>
            </w:pPr>
            <w:r w:rsidRPr="00076468">
              <w:t>Reg. 1272/2008</w:t>
            </w:r>
          </w:p>
        </w:tc>
        <w:tc>
          <w:tcPr>
            <w:tcW w:w="1192" w:type="pct"/>
            <w:vAlign w:val="center"/>
          </w:tcPr>
          <w:p w:rsidR="00F90D79" w:rsidRPr="00076468" w:rsidRDefault="00F90D79" w:rsidP="00F90D79">
            <w:pPr>
              <w:pStyle w:val="RepTable"/>
            </w:pPr>
            <w:r w:rsidRPr="00076468">
              <w:t>None</w:t>
            </w:r>
          </w:p>
        </w:tc>
      </w:tr>
      <w:tr w:rsidR="00F90D79" w:rsidRPr="00B32849" w:rsidTr="00F90D79">
        <w:tc>
          <w:tcPr>
            <w:tcW w:w="1073" w:type="pct"/>
          </w:tcPr>
          <w:p w:rsidR="00076468" w:rsidRPr="00457A66" w:rsidRDefault="00076468" w:rsidP="00076468">
            <w:pPr>
              <w:pStyle w:val="RepTable"/>
            </w:pPr>
            <w:r w:rsidRPr="00457A66">
              <w:t>Further toxicological information</w:t>
            </w:r>
          </w:p>
        </w:tc>
        <w:tc>
          <w:tcPr>
            <w:tcW w:w="804" w:type="pct"/>
          </w:tcPr>
          <w:p w:rsidR="00076468" w:rsidRPr="00457A66" w:rsidRDefault="00076468" w:rsidP="00076468">
            <w:pPr>
              <w:pStyle w:val="RepTable"/>
            </w:pPr>
            <w:r w:rsidRPr="00457A66">
              <w:t>No data – not required</w:t>
            </w:r>
          </w:p>
        </w:tc>
        <w:tc>
          <w:tcPr>
            <w:tcW w:w="1210" w:type="pct"/>
          </w:tcPr>
          <w:p w:rsidR="00076468" w:rsidRPr="00457A66" w:rsidRDefault="00076468" w:rsidP="00076468">
            <w:pPr>
              <w:pStyle w:val="RepTable"/>
            </w:pPr>
          </w:p>
        </w:tc>
        <w:tc>
          <w:tcPr>
            <w:tcW w:w="720" w:type="pct"/>
          </w:tcPr>
          <w:p w:rsidR="00076468" w:rsidRPr="00457A66" w:rsidRDefault="00076468" w:rsidP="00076468">
            <w:pPr>
              <w:pStyle w:val="RepTable"/>
            </w:pPr>
          </w:p>
        </w:tc>
        <w:tc>
          <w:tcPr>
            <w:tcW w:w="1192" w:type="pct"/>
          </w:tcPr>
          <w:p w:rsidR="00076468" w:rsidRPr="00457A66" w:rsidRDefault="00076468" w:rsidP="00076468">
            <w:pPr>
              <w:pStyle w:val="RepTable"/>
            </w:pPr>
          </w:p>
        </w:tc>
      </w:tr>
    </w:tbl>
    <w:p w:rsidR="00077E06" w:rsidRDefault="00077E06" w:rsidP="004131DB">
      <w:pPr>
        <w:pStyle w:val="RepStandard"/>
      </w:pPr>
    </w:p>
    <w:p w:rsidR="00BE29E2" w:rsidRPr="00BE29E2" w:rsidRDefault="00C81348" w:rsidP="00BE29E2">
      <w:pPr>
        <w:pStyle w:val="Nagwek2"/>
      </w:pPr>
      <w:bookmarkStart w:id="146" w:name="_Toc179811288"/>
      <w:r w:rsidRPr="006A490D">
        <w:t>Toxicological Evaluation of Groundwater Metabolites</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1C0D8F" w:rsidRPr="00B32849" w:rsidRDefault="001A5857" w:rsidP="001C0D8F">
      <w:pPr>
        <w:spacing w:after="28" w:line="248" w:lineRule="auto"/>
        <w:ind w:left="2" w:hanging="10"/>
        <w:jc w:val="both"/>
      </w:pPr>
      <w:bookmarkStart w:id="147" w:name="_Toc300147915"/>
      <w:bookmarkStart w:id="148" w:name="_Toc304462608"/>
      <w:bookmarkStart w:id="149" w:name="_Toc314067799"/>
      <w:bookmarkStart w:id="150" w:name="_Toc314122089"/>
      <w:bookmarkStart w:id="151" w:name="_Toc314129268"/>
      <w:bookmarkStart w:id="152" w:name="_Toc314142387"/>
      <w:bookmarkStart w:id="153" w:name="_Toc314557394"/>
      <w:bookmarkStart w:id="154" w:name="_Toc314557652"/>
      <w:bookmarkStart w:id="155" w:name="_Toc328552153"/>
      <w:bookmarkStart w:id="156" w:name="_Toc332020596"/>
      <w:bookmarkStart w:id="157" w:name="_Toc332203440"/>
      <w:bookmarkStart w:id="158" w:name="_Toc332206992"/>
      <w:bookmarkStart w:id="159" w:name="_Toc332296161"/>
      <w:bookmarkStart w:id="160" w:name="_Toc336434728"/>
      <w:bookmarkStart w:id="161" w:name="_Toc397516879"/>
      <w:bookmarkStart w:id="162" w:name="_Toc398627859"/>
      <w:bookmarkStart w:id="163" w:name="_Toc399335714"/>
      <w:bookmarkStart w:id="164" w:name="_Toc399764854"/>
      <w:bookmarkStart w:id="165" w:name="_Toc412562646"/>
      <w:bookmarkStart w:id="166" w:name="_Toc412562723"/>
      <w:bookmarkStart w:id="167" w:name="_Toc413662715"/>
      <w:bookmarkStart w:id="168" w:name="_Toc413673572"/>
      <w:bookmarkStart w:id="169" w:name="_Toc413673670"/>
      <w:bookmarkStart w:id="170" w:name="_Toc413673741"/>
      <w:bookmarkStart w:id="171" w:name="_Toc413928640"/>
      <w:bookmarkStart w:id="172" w:name="_Toc413936254"/>
      <w:bookmarkStart w:id="173" w:name="_Toc413937965"/>
      <w:bookmarkStart w:id="174" w:name="_Toc414026692"/>
      <w:bookmarkStart w:id="175" w:name="_Toc414974071"/>
      <w:bookmarkStart w:id="176" w:name="_Toc450900945"/>
      <w:bookmarkStart w:id="177" w:name="_Toc450920611"/>
      <w:bookmarkStart w:id="178" w:name="_Toc450923732"/>
      <w:bookmarkStart w:id="179" w:name="_Toc454460965"/>
      <w:bookmarkStart w:id="180" w:name="_Toc454462801"/>
      <w:r>
        <w:t xml:space="preserve">The following data on metabolites with the potential to reach the groundwater in concentrations above 0.1 µg/L and requiring relevance assessment were submitted. Note that the relevance assessment of the metabolites is reported in Part B.10; the submitted toxicological studies are summarized in this document. </w:t>
      </w:r>
    </w:p>
    <w:p w:rsidR="009C5765" w:rsidRPr="009C5765" w:rsidRDefault="009C5765" w:rsidP="009C5765">
      <w:pPr>
        <w:pStyle w:val="Nagwek3"/>
        <w:keepLines/>
        <w:widowControl/>
        <w:tabs>
          <w:tab w:val="left" w:pos="708"/>
        </w:tabs>
        <w:suppressAutoHyphens w:val="0"/>
        <w:spacing w:after="210" w:line="247" w:lineRule="auto"/>
        <w:ind w:left="1408" w:hanging="1416"/>
        <w:jc w:val="left"/>
        <w:rPr>
          <w:highlight w:val="cyan"/>
        </w:rPr>
      </w:pPr>
      <w:bookmarkStart w:id="181" w:name="_Toc179801285"/>
      <w:bookmarkStart w:id="182" w:name="_Toc179811289"/>
      <w:bookmarkStart w:id="183" w:name="_Toc226882"/>
      <w:bookmarkStart w:id="184" w:name="_Hlk149644775"/>
      <w:r w:rsidRPr="009C5765">
        <w:rPr>
          <w:highlight w:val="cyan"/>
        </w:rPr>
        <w:t xml:space="preserve">Metabolite 1 - AE F160459, metabolite of </w:t>
      </w:r>
      <w:proofErr w:type="spellStart"/>
      <w:r w:rsidRPr="009C5765">
        <w:rPr>
          <w:highlight w:val="cyan"/>
        </w:rPr>
        <w:t>mesosulfuron</w:t>
      </w:r>
      <w:proofErr w:type="spellEnd"/>
      <w:r w:rsidRPr="009C5765">
        <w:rPr>
          <w:highlight w:val="cyan"/>
        </w:rPr>
        <w:t>-methyl</w:t>
      </w:r>
      <w:bookmarkEnd w:id="181"/>
      <w:bookmarkEnd w:id="182"/>
      <w:r w:rsidRPr="009C5765">
        <w:rPr>
          <w:highlight w:val="cyan"/>
        </w:rPr>
        <w:t xml:space="preserve"> </w:t>
      </w:r>
    </w:p>
    <w:p w:rsidR="009C5765" w:rsidRDefault="009C5765" w:rsidP="009C5765">
      <w:pPr>
        <w:pStyle w:val="RepStandard"/>
        <w:suppressAutoHyphens/>
      </w:pPr>
      <w:r>
        <w:rPr>
          <w:highlight w:val="cyan"/>
        </w:rPr>
        <w:t xml:space="preserve"> </w:t>
      </w:r>
      <w:bookmarkStart w:id="185" w:name="_Hlk55893125"/>
      <w:bookmarkStart w:id="186" w:name="_Hlk135916330"/>
      <w:bookmarkStart w:id="187" w:name="_Ref326074221"/>
      <w:r>
        <w:rPr>
          <w:highlight w:val="cyan"/>
        </w:rPr>
        <w:t xml:space="preserve">According to the EFSA Conclusion on </w:t>
      </w:r>
      <w:proofErr w:type="spellStart"/>
      <w:r>
        <w:rPr>
          <w:highlight w:val="cyan"/>
        </w:rPr>
        <w:t>mesosulfuron</w:t>
      </w:r>
      <w:proofErr w:type="spellEnd"/>
      <w:r>
        <w:rPr>
          <w:highlight w:val="cyan"/>
        </w:rPr>
        <w:t xml:space="preserve">-methyl, AE F160459 is considered devoid of mutagenic potential based on structural similarities with </w:t>
      </w:r>
      <w:proofErr w:type="spellStart"/>
      <w:r>
        <w:rPr>
          <w:highlight w:val="cyan"/>
        </w:rPr>
        <w:t>mesosulfuron</w:t>
      </w:r>
      <w:proofErr w:type="spellEnd"/>
      <w:r>
        <w:rPr>
          <w:highlight w:val="cyan"/>
        </w:rPr>
        <w:t xml:space="preserve">-methyl and AE F160460. It is </w:t>
      </w:r>
      <w:r>
        <w:rPr>
          <w:highlight w:val="cyan"/>
        </w:rPr>
        <w:lastRenderedPageBreak/>
        <w:t>proposed that no further information is required to address this point. For further details, refer to Part B10 of this dossier.</w:t>
      </w:r>
      <w:bookmarkEnd w:id="185"/>
      <w:bookmarkEnd w:id="186"/>
      <w:bookmarkEnd w:id="187"/>
    </w:p>
    <w:p w:rsidR="00BE3DE3" w:rsidRDefault="00BE3DE3" w:rsidP="009C5765">
      <w:pPr>
        <w:pStyle w:val="RepStandard"/>
        <w:suppressAutoHyphens/>
      </w:pPr>
    </w:p>
    <w:p w:rsidR="00BE3DE3" w:rsidRPr="00A27237" w:rsidRDefault="00BE3DE3" w:rsidP="00BE3DE3">
      <w:pPr>
        <w:spacing w:after="10" w:line="248" w:lineRule="auto"/>
        <w:ind w:left="-5" w:hanging="10"/>
        <w:jc w:val="both"/>
        <w:rPr>
          <w:rFonts w:ascii="Calibri" w:eastAsia="Calibri" w:hAnsi="Calibri" w:cs="Calibri"/>
          <w:color w:val="000000"/>
          <w:kern w:val="2"/>
          <w:highlight w:val="darkYellow"/>
          <w:lang w:val="en-IE" w:eastAsia="en-IE"/>
        </w:rPr>
      </w:pPr>
      <w:r w:rsidRPr="00A27237">
        <w:rPr>
          <w:color w:val="000000"/>
          <w:kern w:val="2"/>
          <w:highlight w:val="darkYellow"/>
          <w:lang w:val="en-IE" w:eastAsia="en-IE"/>
        </w:rPr>
        <w:t xml:space="preserve">The relevance of groundwater metabolite AE F160459 has already been assessed and accepted at EU level (see EFSA conclusion Section 4, and List of Endpoints for </w:t>
      </w:r>
      <w:proofErr w:type="spellStart"/>
      <w:r w:rsidRPr="00A27237">
        <w:rPr>
          <w:color w:val="000000"/>
          <w:kern w:val="2"/>
          <w:highlight w:val="darkYellow"/>
          <w:lang w:val="en-IE" w:eastAsia="en-IE"/>
        </w:rPr>
        <w:t>mesosulfuron</w:t>
      </w:r>
      <w:proofErr w:type="spellEnd"/>
      <w:r w:rsidRPr="00A27237">
        <w:rPr>
          <w:color w:val="000000"/>
          <w:kern w:val="2"/>
          <w:highlight w:val="darkYellow"/>
          <w:lang w:val="en-IE" w:eastAsia="en-IE"/>
        </w:rPr>
        <w:t xml:space="preserve">-methyl). Metabolite AE F160459 is </w:t>
      </w:r>
      <w:r w:rsidRPr="00A27237">
        <w:rPr>
          <w:color w:val="000000"/>
          <w:kern w:val="2"/>
          <w:highlight w:val="darkYellow"/>
          <w:u w:val="single" w:color="000000"/>
          <w:lang w:val="en-IE" w:eastAsia="en-IE"/>
        </w:rPr>
        <w:t>not</w:t>
      </w:r>
      <w:r w:rsidRPr="00A27237">
        <w:rPr>
          <w:color w:val="000000"/>
          <w:kern w:val="2"/>
          <w:highlight w:val="darkYellow"/>
          <w:lang w:val="en-IE" w:eastAsia="en-IE"/>
        </w:rPr>
        <w:t xml:space="preserve"> considered relevant according to the criteria laid down in the EC guidance document </w:t>
      </w:r>
      <w:r w:rsidRPr="00A27237">
        <w:rPr>
          <w:highlight w:val="darkYellow"/>
        </w:rPr>
        <w:t>SANCO/221/2000 –rev.11. A summary of the relevance assessment is provided in</w:t>
      </w:r>
      <w:r w:rsidRPr="00A27237">
        <w:rPr>
          <w:color w:val="000000"/>
          <w:kern w:val="2"/>
          <w:highlight w:val="darkYellow"/>
          <w:lang w:val="en-IE" w:eastAsia="en-IE"/>
        </w:rPr>
        <w:t xml:space="preserve"> Table 10.2-1 Part 10.  </w:t>
      </w:r>
    </w:p>
    <w:p w:rsidR="00BE3DE3" w:rsidRPr="00A27237" w:rsidRDefault="00BE3DE3" w:rsidP="00BE3DE3">
      <w:pPr>
        <w:spacing w:before="240" w:after="498" w:line="248" w:lineRule="auto"/>
        <w:ind w:left="-5" w:hanging="10"/>
        <w:rPr>
          <w:color w:val="000000"/>
          <w:kern w:val="2"/>
          <w:highlight w:val="darkYellow"/>
          <w:lang w:val="en-IE" w:eastAsia="en-IE"/>
        </w:rPr>
      </w:pPr>
      <w:r w:rsidRPr="00A27237">
        <w:rPr>
          <w:color w:val="000000"/>
          <w:kern w:val="2"/>
          <w:highlight w:val="darkYellow"/>
          <w:lang w:val="en-IE" w:eastAsia="en-IE"/>
        </w:rPr>
        <w:t xml:space="preserve">This agreed assessment is also applicable for the GAP and groundwater scenarios considered in this </w:t>
      </w:r>
      <w:proofErr w:type="spellStart"/>
      <w:r w:rsidRPr="00A27237">
        <w:rPr>
          <w:color w:val="000000"/>
          <w:kern w:val="2"/>
          <w:highlight w:val="darkYellow"/>
          <w:lang w:val="en-IE" w:eastAsia="en-IE"/>
        </w:rPr>
        <w:t>dRR</w:t>
      </w:r>
      <w:proofErr w:type="spellEnd"/>
      <w:r w:rsidRPr="00A27237">
        <w:rPr>
          <w:color w:val="000000"/>
          <w:kern w:val="2"/>
          <w:highlight w:val="darkYellow"/>
          <w:lang w:val="en-IE" w:eastAsia="en-IE"/>
        </w:rPr>
        <w:t xml:space="preserve">, as predicted metabolite concentrations were always &lt; 0.75 </w:t>
      </w:r>
      <w:proofErr w:type="spellStart"/>
      <w:r w:rsidRPr="00A27237">
        <w:rPr>
          <w:color w:val="000000"/>
          <w:kern w:val="2"/>
          <w:highlight w:val="darkYellow"/>
          <w:lang w:val="en-IE" w:eastAsia="en-IE"/>
        </w:rPr>
        <w:t>μg</w:t>
      </w:r>
      <w:proofErr w:type="spellEnd"/>
      <w:r w:rsidRPr="00A27237">
        <w:rPr>
          <w:color w:val="000000"/>
          <w:kern w:val="2"/>
          <w:highlight w:val="darkYellow"/>
          <w:lang w:val="en-IE" w:eastAsia="en-IE"/>
        </w:rPr>
        <w:t xml:space="preserve">/L.  </w:t>
      </w:r>
    </w:p>
    <w:p w:rsidR="00BE3DE3" w:rsidRPr="00A27237" w:rsidRDefault="00BE3DE3" w:rsidP="00BE3DE3">
      <w:pPr>
        <w:pStyle w:val="RepLabel"/>
        <w:suppressAutoHyphens/>
        <w:ind w:left="0" w:firstLine="0"/>
        <w:rPr>
          <w:highlight w:val="darkYellow"/>
        </w:rPr>
      </w:pPr>
      <w:bookmarkStart w:id="188" w:name="_Ref413754706"/>
      <w:bookmarkStart w:id="189" w:name="_Hlk150332400"/>
      <w:r w:rsidRPr="00A27237">
        <w:rPr>
          <w:highlight w:val="darkYellow"/>
        </w:rPr>
        <w:t>Table </w:t>
      </w:r>
      <w:bookmarkEnd w:id="188"/>
      <w:r w:rsidRPr="00A27237">
        <w:rPr>
          <w:highlight w:val="darkYellow"/>
        </w:rPr>
        <w:t>6.4-4:</w:t>
      </w:r>
      <w:r w:rsidRPr="00A27237">
        <w:rPr>
          <w:highlight w:val="darkYellow"/>
        </w:rPr>
        <w:tab/>
      </w:r>
      <w:r w:rsidRPr="00A27237">
        <w:rPr>
          <w:bCs w:val="0"/>
          <w:highlight w:val="darkYellow"/>
        </w:rPr>
        <w:t xml:space="preserve">Summary of the relevance assessment for </w:t>
      </w:r>
      <w:r w:rsidRPr="00A27237">
        <w:rPr>
          <w:highlight w:val="darkYellow"/>
        </w:rPr>
        <w:t>AE F160459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944"/>
        <w:gridCol w:w="1390"/>
        <w:gridCol w:w="1390"/>
        <w:gridCol w:w="2876"/>
        <w:gridCol w:w="2872"/>
      </w:tblGrid>
      <w:tr w:rsidR="00BE3DE3" w:rsidRPr="00A27237" w:rsidTr="00936FBA">
        <w:tc>
          <w:tcPr>
            <w:tcW w:w="498" w:type="pct"/>
            <w:shd w:val="clear" w:color="auto" w:fill="auto"/>
            <w:vAlign w:val="center"/>
          </w:tcPr>
          <w:p w:rsidR="00BE3DE3" w:rsidRPr="00A27237" w:rsidRDefault="00BE3DE3" w:rsidP="00936FBA">
            <w:pPr>
              <w:suppressAutoHyphens/>
              <w:jc w:val="center"/>
              <w:rPr>
                <w:highlight w:val="darkYellow"/>
                <w:lang w:val="en-GB"/>
              </w:rPr>
            </w:pPr>
          </w:p>
        </w:tc>
        <w:tc>
          <w:tcPr>
            <w:tcW w:w="1467" w:type="pct"/>
            <w:gridSpan w:val="2"/>
            <w:shd w:val="clear" w:color="auto" w:fill="auto"/>
            <w:vAlign w:val="center"/>
          </w:tcPr>
          <w:p w:rsidR="00BE3DE3" w:rsidRPr="00A27237" w:rsidRDefault="00BE3DE3" w:rsidP="00936FBA">
            <w:pPr>
              <w:pStyle w:val="RepTable"/>
              <w:suppressAutoHyphens/>
              <w:rPr>
                <w:highlight w:val="darkYellow"/>
              </w:rPr>
            </w:pPr>
            <w:r w:rsidRPr="00A27237">
              <w:rPr>
                <w:b/>
                <w:noProof w:val="0"/>
                <w:highlight w:val="darkYellow"/>
              </w:rPr>
              <w:t>Assessment step</w:t>
            </w:r>
          </w:p>
        </w:tc>
        <w:tc>
          <w:tcPr>
            <w:tcW w:w="3034" w:type="pct"/>
            <w:gridSpan w:val="2"/>
            <w:shd w:val="clear" w:color="auto" w:fill="auto"/>
            <w:vAlign w:val="center"/>
          </w:tcPr>
          <w:p w:rsidR="00BE3DE3" w:rsidRPr="00A27237" w:rsidRDefault="00BE3DE3" w:rsidP="00936FBA">
            <w:pPr>
              <w:pStyle w:val="RepTable"/>
              <w:suppressAutoHyphens/>
              <w:rPr>
                <w:highlight w:val="darkYellow"/>
              </w:rPr>
            </w:pPr>
            <w:r w:rsidRPr="00A27237">
              <w:rPr>
                <w:b/>
                <w:noProof w:val="0"/>
                <w:highlight w:val="darkYellow"/>
              </w:rPr>
              <w:t xml:space="preserve">Result of assessment </w:t>
            </w:r>
          </w:p>
        </w:tc>
      </w:tr>
      <w:tr w:rsidR="00BE3DE3" w:rsidRPr="00A27237" w:rsidTr="00936FBA">
        <w:tc>
          <w:tcPr>
            <w:tcW w:w="498" w:type="pct"/>
            <w:shd w:val="clear" w:color="auto" w:fill="auto"/>
            <w:vAlign w:val="center"/>
          </w:tcPr>
          <w:p w:rsidR="00BE3DE3" w:rsidRPr="00A27237" w:rsidRDefault="00BE3DE3" w:rsidP="00936FBA">
            <w:pPr>
              <w:suppressAutoHyphens/>
              <w:jc w:val="center"/>
              <w:rPr>
                <w:highlight w:val="darkYellow"/>
                <w:lang w:val="en-GB"/>
              </w:rPr>
            </w:pPr>
          </w:p>
        </w:tc>
        <w:tc>
          <w:tcPr>
            <w:tcW w:w="1467" w:type="pct"/>
            <w:gridSpan w:val="2"/>
            <w:shd w:val="clear" w:color="auto" w:fill="auto"/>
            <w:vAlign w:val="center"/>
          </w:tcPr>
          <w:p w:rsidR="00BE3DE3" w:rsidRPr="00A27237" w:rsidRDefault="00BE3DE3" w:rsidP="00936FBA">
            <w:pPr>
              <w:pStyle w:val="RepTable"/>
              <w:suppressAutoHyphens/>
              <w:rPr>
                <w:bCs/>
                <w:noProof w:val="0"/>
                <w:highlight w:val="darkYellow"/>
              </w:rPr>
            </w:pPr>
            <w:r w:rsidRPr="00A27237">
              <w:rPr>
                <w:bCs/>
                <w:noProof w:val="0"/>
                <w:highlight w:val="darkYellow"/>
              </w:rPr>
              <w:t>Non-relevance EU-agreed?</w:t>
            </w:r>
          </w:p>
        </w:tc>
        <w:tc>
          <w:tcPr>
            <w:tcW w:w="1517" w:type="pct"/>
            <w:shd w:val="clear" w:color="auto" w:fill="auto"/>
            <w:vAlign w:val="center"/>
          </w:tcPr>
          <w:p w:rsidR="00BE3DE3" w:rsidRPr="00A27237" w:rsidRDefault="00BE3DE3" w:rsidP="00936FBA">
            <w:pPr>
              <w:pStyle w:val="RepTable"/>
              <w:suppressAutoHyphens/>
              <w:rPr>
                <w:bCs/>
                <w:noProof w:val="0"/>
                <w:highlight w:val="darkYellow"/>
              </w:rPr>
            </w:pPr>
            <w:r w:rsidRPr="00A27237">
              <w:rPr>
                <w:bCs/>
                <w:noProof w:val="0"/>
                <w:highlight w:val="darkYellow"/>
              </w:rPr>
              <w:t>Yes</w:t>
            </w:r>
          </w:p>
        </w:tc>
        <w:tc>
          <w:tcPr>
            <w:tcW w:w="1517" w:type="pct"/>
            <w:shd w:val="clear" w:color="auto" w:fill="auto"/>
            <w:vAlign w:val="center"/>
          </w:tcPr>
          <w:p w:rsidR="00BE3DE3" w:rsidRPr="00A27237" w:rsidRDefault="00BE3DE3" w:rsidP="00936FBA">
            <w:pPr>
              <w:pStyle w:val="RepTable"/>
              <w:suppressAutoHyphens/>
              <w:rPr>
                <w:bCs/>
                <w:noProof w:val="0"/>
                <w:highlight w:val="darkYellow"/>
              </w:rPr>
            </w:pPr>
            <w:r w:rsidRPr="00A27237">
              <w:rPr>
                <w:bCs/>
                <w:noProof w:val="0"/>
                <w:highlight w:val="darkYellow"/>
              </w:rPr>
              <w:t xml:space="preserve">Reference: </w:t>
            </w:r>
          </w:p>
          <w:p w:rsidR="00BE3DE3" w:rsidRPr="00A27237" w:rsidRDefault="00BE3DE3" w:rsidP="00936FBA">
            <w:pPr>
              <w:pStyle w:val="RepTable"/>
              <w:suppressAutoHyphens/>
              <w:rPr>
                <w:bCs/>
                <w:noProof w:val="0"/>
                <w:highlight w:val="darkYellow"/>
              </w:rPr>
            </w:pPr>
            <w:r w:rsidRPr="00A27237">
              <w:rPr>
                <w:bCs/>
                <w:noProof w:val="0"/>
                <w:highlight w:val="darkYellow"/>
              </w:rPr>
              <w:t xml:space="preserve">EFSA conclusion and </w:t>
            </w:r>
            <w:proofErr w:type="spellStart"/>
            <w:r w:rsidRPr="00A27237">
              <w:rPr>
                <w:bCs/>
                <w:noProof w:val="0"/>
                <w:highlight w:val="darkYellow"/>
              </w:rPr>
              <w:t>LoEP</w:t>
            </w:r>
            <w:proofErr w:type="spellEnd"/>
            <w:r w:rsidRPr="00A27237">
              <w:rPr>
                <w:bCs/>
                <w:noProof w:val="0"/>
                <w:highlight w:val="darkYellow"/>
              </w:rPr>
              <w:t xml:space="preserve"> of </w:t>
            </w:r>
            <w:proofErr w:type="spellStart"/>
            <w:r w:rsidRPr="00A27237">
              <w:rPr>
                <w:bCs/>
                <w:noProof w:val="0"/>
                <w:highlight w:val="darkYellow"/>
              </w:rPr>
              <w:t>mesosulfuron</w:t>
            </w:r>
            <w:proofErr w:type="spellEnd"/>
            <w:r w:rsidRPr="00A27237">
              <w:rPr>
                <w:bCs/>
                <w:noProof w:val="0"/>
                <w:highlight w:val="darkYellow"/>
              </w:rPr>
              <w:t xml:space="preserve">,  </w:t>
            </w:r>
          </w:p>
          <w:p w:rsidR="00BE3DE3" w:rsidRPr="00A27237" w:rsidRDefault="00BE3DE3" w:rsidP="00936FBA">
            <w:pPr>
              <w:pStyle w:val="RepTable"/>
              <w:suppressAutoHyphens/>
              <w:rPr>
                <w:bCs/>
                <w:noProof w:val="0"/>
                <w:highlight w:val="darkYellow"/>
              </w:rPr>
            </w:pPr>
            <w:r w:rsidRPr="00A27237">
              <w:rPr>
                <w:bCs/>
                <w:noProof w:val="0"/>
                <w:highlight w:val="darkYellow"/>
              </w:rPr>
              <w:t xml:space="preserve">EFSA Journal 2016;14(10):4584, Section 4 and Table 2;  </w:t>
            </w:r>
          </w:p>
          <w:p w:rsidR="00BE3DE3" w:rsidRPr="00A27237" w:rsidRDefault="00BE3DE3" w:rsidP="00936FBA">
            <w:pPr>
              <w:pStyle w:val="RepTable"/>
              <w:suppressAutoHyphens/>
              <w:rPr>
                <w:bCs/>
                <w:noProof w:val="0"/>
                <w:highlight w:val="darkYellow"/>
              </w:rPr>
            </w:pPr>
            <w:r w:rsidRPr="00A27237">
              <w:rPr>
                <w:bCs/>
                <w:noProof w:val="0"/>
                <w:highlight w:val="darkYellow"/>
              </w:rPr>
              <w:t xml:space="preserve">EFSA Journal 2016;14(10):4584  </w:t>
            </w:r>
          </w:p>
        </w:tc>
      </w:tr>
      <w:tr w:rsidR="00BE3DE3" w:rsidRPr="00A27237" w:rsidTr="00936FBA">
        <w:tc>
          <w:tcPr>
            <w:tcW w:w="498" w:type="pct"/>
            <w:shd w:val="clear" w:color="auto" w:fill="auto"/>
          </w:tcPr>
          <w:p w:rsidR="00BE3DE3" w:rsidRPr="00A27237" w:rsidRDefault="00BE3DE3" w:rsidP="00936FBA">
            <w:pPr>
              <w:suppressAutoHyphens/>
              <w:rPr>
                <w:highlight w:val="darkYellow"/>
                <w:lang w:val="en-GB"/>
              </w:rPr>
            </w:pPr>
          </w:p>
        </w:tc>
        <w:tc>
          <w:tcPr>
            <w:tcW w:w="1467" w:type="pct"/>
            <w:gridSpan w:val="2"/>
            <w:shd w:val="clear" w:color="auto" w:fill="auto"/>
          </w:tcPr>
          <w:p w:rsidR="00BE3DE3" w:rsidRPr="00A27237" w:rsidRDefault="00BE3DE3" w:rsidP="00936FBA">
            <w:pPr>
              <w:pStyle w:val="RepTable"/>
              <w:suppressAutoHyphens/>
              <w:rPr>
                <w:highlight w:val="darkYellow"/>
              </w:rPr>
            </w:pPr>
            <w:r w:rsidRPr="00A27237">
              <w:rPr>
                <w:noProof w:val="0"/>
                <w:highlight w:val="darkYellow"/>
              </w:rPr>
              <w:t xml:space="preserve">STEP 1 </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Metabolite of no concern?</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No</w:t>
            </w:r>
          </w:p>
        </w:tc>
      </w:tr>
      <w:tr w:rsidR="00BE3DE3" w:rsidRPr="00A27237" w:rsidTr="00936FBA">
        <w:tc>
          <w:tcPr>
            <w:tcW w:w="498" w:type="pct"/>
            <w:vMerge w:val="restart"/>
            <w:shd w:val="clear" w:color="auto" w:fill="auto"/>
            <w:textDirection w:val="btLr"/>
            <w:vAlign w:val="center"/>
          </w:tcPr>
          <w:p w:rsidR="00BE3DE3" w:rsidRPr="00A27237" w:rsidRDefault="00BE3DE3" w:rsidP="00936FBA">
            <w:pPr>
              <w:pStyle w:val="RepTable"/>
              <w:suppressAutoHyphens/>
              <w:jc w:val="center"/>
              <w:rPr>
                <w:highlight w:val="darkYellow"/>
              </w:rPr>
            </w:pPr>
            <w:r w:rsidRPr="00A27237">
              <w:rPr>
                <w:b/>
                <w:noProof w:val="0"/>
                <w:highlight w:val="darkYellow"/>
              </w:rPr>
              <w:t>Quantification of groundwater contamination</w:t>
            </w:r>
          </w:p>
        </w:tc>
        <w:tc>
          <w:tcPr>
            <w:tcW w:w="1467" w:type="pct"/>
            <w:gridSpan w:val="2"/>
            <w:vMerge w:val="restart"/>
            <w:shd w:val="clear" w:color="auto" w:fill="auto"/>
          </w:tcPr>
          <w:p w:rsidR="00BE3DE3" w:rsidRPr="00A27237" w:rsidRDefault="00BE3DE3" w:rsidP="00936FBA">
            <w:pPr>
              <w:pStyle w:val="RepTable"/>
              <w:suppressAutoHyphens/>
              <w:rPr>
                <w:highlight w:val="darkYellow"/>
              </w:rPr>
            </w:pPr>
            <w:r w:rsidRPr="00A27237">
              <w:rPr>
                <w:noProof w:val="0"/>
                <w:highlight w:val="darkYellow"/>
              </w:rPr>
              <w:t>STEP 2</w:t>
            </w:r>
          </w:p>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 xml:space="preserve">Max </w:t>
            </w:r>
            <w:proofErr w:type="spellStart"/>
            <w:r w:rsidRPr="00A27237">
              <w:rPr>
                <w:noProof w:val="0"/>
                <w:highlight w:val="darkYellow"/>
              </w:rPr>
              <w:t>PEC</w:t>
            </w:r>
            <w:r w:rsidRPr="00A27237">
              <w:rPr>
                <w:noProof w:val="0"/>
                <w:highlight w:val="darkYellow"/>
                <w:vertAlign w:val="subscript"/>
              </w:rPr>
              <w:t>gw</w:t>
            </w:r>
            <w:proofErr w:type="spellEnd"/>
            <w:r w:rsidRPr="00A27237">
              <w:rPr>
                <w:noProof w:val="0"/>
                <w:highlight w:val="darkYellow"/>
                <w:vertAlign w:val="subscript"/>
              </w:rPr>
              <w:t xml:space="preserve"> </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0.227 µg/L</w:t>
            </w:r>
          </w:p>
        </w:tc>
      </w:tr>
      <w:tr w:rsidR="00BE3DE3" w:rsidRPr="00A27237" w:rsidTr="00936FBA">
        <w:trPr>
          <w:trHeight w:val="920"/>
        </w:trPr>
        <w:tc>
          <w:tcPr>
            <w:tcW w:w="498" w:type="pct"/>
            <w:vMerge/>
            <w:shd w:val="clear" w:color="auto" w:fill="auto"/>
            <w:vAlign w:val="center"/>
          </w:tcPr>
          <w:p w:rsidR="00BE3DE3" w:rsidRPr="00A27237" w:rsidRDefault="00BE3DE3" w:rsidP="00936FBA">
            <w:pPr>
              <w:keepNext/>
              <w:suppressAutoHyphens/>
              <w:jc w:val="center"/>
              <w:rPr>
                <w:highlight w:val="darkYellow"/>
                <w:lang w:val="en-GB"/>
              </w:rPr>
            </w:pPr>
          </w:p>
        </w:tc>
        <w:tc>
          <w:tcPr>
            <w:tcW w:w="1467" w:type="pct"/>
            <w:gridSpan w:val="2"/>
            <w:vMerge/>
            <w:shd w:val="clear" w:color="auto" w:fill="auto"/>
          </w:tcPr>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 xml:space="preserve">Based on </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FOCUS PEARL 5.5.5, Jokioinen</w:t>
            </w:r>
          </w:p>
          <w:p w:rsidR="00BE3DE3" w:rsidRPr="00A27237" w:rsidRDefault="00BE3DE3" w:rsidP="00936FBA">
            <w:pPr>
              <w:pStyle w:val="RepTable"/>
              <w:suppressAutoHyphens/>
              <w:spacing w:before="240"/>
              <w:rPr>
                <w:highlight w:val="darkYellow"/>
              </w:rPr>
            </w:pPr>
            <w:r w:rsidRPr="00A27237">
              <w:rPr>
                <w:highlight w:val="darkYellow"/>
                <w:lang w:val="en-US"/>
              </w:rPr>
              <w:t>Winter cereals, End of winter to spring application</w:t>
            </w:r>
          </w:p>
        </w:tc>
      </w:tr>
      <w:tr w:rsidR="00BE3DE3" w:rsidRPr="00A27237" w:rsidTr="00936FBA">
        <w:tc>
          <w:tcPr>
            <w:tcW w:w="498" w:type="pct"/>
            <w:vMerge w:val="restart"/>
            <w:shd w:val="clear" w:color="auto" w:fill="auto"/>
            <w:textDirection w:val="btLr"/>
            <w:vAlign w:val="center"/>
          </w:tcPr>
          <w:p w:rsidR="00BE3DE3" w:rsidRPr="00A27237" w:rsidRDefault="00BE3DE3" w:rsidP="00936FBA">
            <w:pPr>
              <w:pStyle w:val="RepTable"/>
              <w:suppressAutoHyphens/>
              <w:jc w:val="center"/>
              <w:rPr>
                <w:highlight w:val="darkYellow"/>
              </w:rPr>
            </w:pPr>
            <w:r w:rsidRPr="00A27237">
              <w:rPr>
                <w:b/>
                <w:noProof w:val="0"/>
                <w:highlight w:val="darkYellow"/>
              </w:rPr>
              <w:t>Hazard assessment</w:t>
            </w:r>
          </w:p>
        </w:tc>
        <w:tc>
          <w:tcPr>
            <w:tcW w:w="734" w:type="pct"/>
            <w:vMerge w:val="restart"/>
            <w:shd w:val="clear" w:color="auto" w:fill="auto"/>
          </w:tcPr>
          <w:p w:rsidR="00BE3DE3" w:rsidRPr="00A27237" w:rsidRDefault="00BE3DE3" w:rsidP="00936FBA">
            <w:pPr>
              <w:pStyle w:val="RepTable"/>
              <w:suppressAutoHyphens/>
              <w:rPr>
                <w:highlight w:val="darkYellow"/>
              </w:rPr>
            </w:pPr>
            <w:r w:rsidRPr="00A27237">
              <w:rPr>
                <w:noProof w:val="0"/>
                <w:highlight w:val="darkYellow"/>
              </w:rPr>
              <w:t>STEP 3</w:t>
            </w:r>
          </w:p>
        </w:tc>
        <w:tc>
          <w:tcPr>
            <w:tcW w:w="734"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Stage 1</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Biological activity comparable to the parent?</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no</w:t>
            </w:r>
          </w:p>
        </w:tc>
      </w:tr>
      <w:tr w:rsidR="00BE3DE3" w:rsidRPr="00A27237" w:rsidTr="00936FBA">
        <w:tc>
          <w:tcPr>
            <w:tcW w:w="498" w:type="pct"/>
            <w:vMerge/>
            <w:shd w:val="clear" w:color="auto" w:fill="auto"/>
            <w:vAlign w:val="center"/>
          </w:tcPr>
          <w:p w:rsidR="00BE3DE3" w:rsidRPr="00A27237" w:rsidRDefault="00BE3DE3" w:rsidP="00936FBA">
            <w:pPr>
              <w:keepNext/>
              <w:suppressAutoHyphens/>
              <w:jc w:val="center"/>
              <w:rPr>
                <w:highlight w:val="darkYellow"/>
                <w:lang w:val="en-GB"/>
              </w:rPr>
            </w:pPr>
          </w:p>
        </w:tc>
        <w:tc>
          <w:tcPr>
            <w:tcW w:w="734" w:type="pct"/>
            <w:vMerge/>
            <w:shd w:val="clear" w:color="auto" w:fill="auto"/>
          </w:tcPr>
          <w:p w:rsidR="00BE3DE3" w:rsidRPr="00A27237" w:rsidRDefault="00BE3DE3" w:rsidP="00936FBA">
            <w:pPr>
              <w:suppressAutoHyphens/>
              <w:rPr>
                <w:highlight w:val="darkYellow"/>
                <w:lang w:val="en-GB"/>
              </w:rPr>
            </w:pPr>
          </w:p>
        </w:tc>
        <w:tc>
          <w:tcPr>
            <w:tcW w:w="734"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Stage 2</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Genotoxic properties of metabolite</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lang w:val="en-IE"/>
              </w:rPr>
              <w:t>non-genotoxic</w:t>
            </w:r>
          </w:p>
        </w:tc>
      </w:tr>
      <w:tr w:rsidR="00BE3DE3" w:rsidRPr="00A27237" w:rsidTr="00936FBA">
        <w:tc>
          <w:tcPr>
            <w:tcW w:w="498" w:type="pct"/>
            <w:vMerge/>
            <w:shd w:val="clear" w:color="auto" w:fill="auto"/>
            <w:vAlign w:val="center"/>
          </w:tcPr>
          <w:p w:rsidR="00BE3DE3" w:rsidRPr="00A27237" w:rsidRDefault="00BE3DE3" w:rsidP="00936FBA">
            <w:pPr>
              <w:keepNext/>
              <w:suppressAutoHyphens/>
              <w:jc w:val="center"/>
              <w:rPr>
                <w:highlight w:val="darkYellow"/>
                <w:lang w:val="en-GB"/>
              </w:rPr>
            </w:pPr>
          </w:p>
        </w:tc>
        <w:tc>
          <w:tcPr>
            <w:tcW w:w="734" w:type="pct"/>
            <w:vMerge/>
            <w:shd w:val="clear" w:color="auto" w:fill="auto"/>
          </w:tcPr>
          <w:p w:rsidR="00BE3DE3" w:rsidRPr="00A27237" w:rsidRDefault="00BE3DE3" w:rsidP="00936FBA">
            <w:pPr>
              <w:suppressAutoHyphens/>
              <w:rPr>
                <w:highlight w:val="darkYellow"/>
                <w:lang w:val="en-GB"/>
              </w:rPr>
            </w:pPr>
          </w:p>
        </w:tc>
        <w:tc>
          <w:tcPr>
            <w:tcW w:w="734" w:type="pct"/>
            <w:vMerge w:val="restart"/>
            <w:shd w:val="clear" w:color="auto" w:fill="auto"/>
          </w:tcPr>
          <w:p w:rsidR="00BE3DE3" w:rsidRPr="00A27237" w:rsidRDefault="00BE3DE3" w:rsidP="00936FBA">
            <w:pPr>
              <w:pStyle w:val="RepTable"/>
              <w:suppressAutoHyphens/>
              <w:rPr>
                <w:highlight w:val="darkYellow"/>
              </w:rPr>
            </w:pPr>
            <w:r w:rsidRPr="00A27237">
              <w:rPr>
                <w:noProof w:val="0"/>
                <w:highlight w:val="darkYellow"/>
              </w:rPr>
              <w:t>Stage 3</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Toxic properties of metabolite;</w:t>
            </w:r>
          </w:p>
        </w:tc>
        <w:tc>
          <w:tcPr>
            <w:tcW w:w="1516" w:type="pct"/>
            <w:shd w:val="clear" w:color="auto" w:fill="auto"/>
          </w:tcPr>
          <w:p w:rsidR="00BE3DE3" w:rsidRPr="00A27237" w:rsidRDefault="00BE3DE3" w:rsidP="00936FBA">
            <w:pPr>
              <w:pStyle w:val="RepTable"/>
              <w:suppressAutoHyphens/>
              <w:rPr>
                <w:highlight w:val="darkYellow"/>
              </w:rPr>
            </w:pPr>
          </w:p>
        </w:tc>
      </w:tr>
      <w:tr w:rsidR="00BE3DE3" w:rsidRPr="00A27237" w:rsidTr="00936FBA">
        <w:tc>
          <w:tcPr>
            <w:tcW w:w="498" w:type="pct"/>
            <w:vMerge/>
            <w:shd w:val="clear" w:color="auto" w:fill="auto"/>
            <w:vAlign w:val="center"/>
          </w:tcPr>
          <w:p w:rsidR="00BE3DE3" w:rsidRPr="00A27237" w:rsidRDefault="00BE3DE3" w:rsidP="00936FBA">
            <w:pPr>
              <w:keepNext/>
              <w:suppressAutoHyphens/>
              <w:jc w:val="center"/>
              <w:rPr>
                <w:highlight w:val="darkYellow"/>
                <w:lang w:val="en-GB"/>
              </w:rPr>
            </w:pPr>
          </w:p>
        </w:tc>
        <w:tc>
          <w:tcPr>
            <w:tcW w:w="734" w:type="pct"/>
            <w:vMerge/>
            <w:shd w:val="clear" w:color="auto" w:fill="auto"/>
          </w:tcPr>
          <w:p w:rsidR="00BE3DE3" w:rsidRPr="00A27237" w:rsidRDefault="00BE3DE3" w:rsidP="00936FBA">
            <w:pPr>
              <w:keepNext/>
              <w:suppressAutoHyphens/>
              <w:rPr>
                <w:highlight w:val="darkYellow"/>
                <w:lang w:val="en-GB"/>
              </w:rPr>
            </w:pPr>
          </w:p>
        </w:tc>
        <w:tc>
          <w:tcPr>
            <w:tcW w:w="734" w:type="pct"/>
            <w:vMerge/>
            <w:shd w:val="clear" w:color="auto" w:fill="auto"/>
          </w:tcPr>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 xml:space="preserve">Classification of parent </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No classification and labelling required with respect to toxicological profile</w:t>
            </w:r>
          </w:p>
        </w:tc>
      </w:tr>
      <w:tr w:rsidR="00BE3DE3" w:rsidRPr="00A27237" w:rsidTr="00936FBA">
        <w:tc>
          <w:tcPr>
            <w:tcW w:w="498" w:type="pct"/>
            <w:vMerge/>
            <w:shd w:val="clear" w:color="auto" w:fill="auto"/>
            <w:vAlign w:val="center"/>
          </w:tcPr>
          <w:p w:rsidR="00BE3DE3" w:rsidRPr="00A27237" w:rsidRDefault="00BE3DE3" w:rsidP="00936FBA">
            <w:pPr>
              <w:keepNext/>
              <w:suppressAutoHyphens/>
              <w:jc w:val="center"/>
              <w:rPr>
                <w:highlight w:val="darkYellow"/>
                <w:lang w:val="en-GB"/>
              </w:rPr>
            </w:pPr>
          </w:p>
        </w:tc>
        <w:tc>
          <w:tcPr>
            <w:tcW w:w="734" w:type="pct"/>
            <w:vMerge/>
            <w:shd w:val="clear" w:color="auto" w:fill="auto"/>
          </w:tcPr>
          <w:p w:rsidR="00BE3DE3" w:rsidRPr="00A27237" w:rsidRDefault="00BE3DE3" w:rsidP="00936FBA">
            <w:pPr>
              <w:keepNext/>
              <w:suppressAutoHyphens/>
              <w:jc w:val="right"/>
              <w:rPr>
                <w:highlight w:val="darkYellow"/>
                <w:lang w:val="en-GB"/>
              </w:rPr>
            </w:pPr>
          </w:p>
        </w:tc>
        <w:tc>
          <w:tcPr>
            <w:tcW w:w="734" w:type="pct"/>
            <w:vMerge/>
            <w:shd w:val="clear" w:color="auto" w:fill="auto"/>
          </w:tcPr>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Classification of metabolite</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None</w:t>
            </w:r>
          </w:p>
        </w:tc>
      </w:tr>
      <w:tr w:rsidR="00BE3DE3" w:rsidRPr="00A27237" w:rsidTr="00936FBA">
        <w:trPr>
          <w:trHeight w:val="879"/>
        </w:trPr>
        <w:tc>
          <w:tcPr>
            <w:tcW w:w="498" w:type="pct"/>
            <w:vMerge w:val="restart"/>
            <w:shd w:val="clear" w:color="auto" w:fill="auto"/>
            <w:textDirection w:val="btLr"/>
            <w:vAlign w:val="center"/>
          </w:tcPr>
          <w:p w:rsidR="00BE3DE3" w:rsidRPr="00A27237" w:rsidRDefault="00BE3DE3" w:rsidP="00936FBA">
            <w:pPr>
              <w:pStyle w:val="RepTable"/>
              <w:suppressAutoHyphens/>
              <w:jc w:val="center"/>
              <w:rPr>
                <w:highlight w:val="darkYellow"/>
              </w:rPr>
            </w:pPr>
            <w:r w:rsidRPr="00A27237">
              <w:rPr>
                <w:b/>
                <w:noProof w:val="0"/>
                <w:highlight w:val="darkYellow"/>
              </w:rPr>
              <w:t>Consumer health risk assessment</w:t>
            </w:r>
          </w:p>
        </w:tc>
        <w:tc>
          <w:tcPr>
            <w:tcW w:w="1467" w:type="pct"/>
            <w:gridSpan w:val="2"/>
            <w:shd w:val="clear" w:color="auto" w:fill="auto"/>
          </w:tcPr>
          <w:p w:rsidR="00BE3DE3" w:rsidRPr="00A27237" w:rsidRDefault="00BE3DE3" w:rsidP="00936FBA">
            <w:pPr>
              <w:pStyle w:val="RepTable"/>
              <w:suppressAutoHyphens/>
              <w:rPr>
                <w:highlight w:val="darkYellow"/>
              </w:rPr>
            </w:pPr>
            <w:r w:rsidRPr="00A27237">
              <w:rPr>
                <w:noProof w:val="0"/>
                <w:highlight w:val="darkYellow"/>
              </w:rPr>
              <w:t>STEP 4</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 xml:space="preserve">Estimated consumer exposure via drinking water and other sources; threshold of concern approach </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acceptable (&lt;0.75 µg/L)</w:t>
            </w:r>
          </w:p>
        </w:tc>
      </w:tr>
      <w:tr w:rsidR="00BE3DE3" w:rsidRPr="00A27237" w:rsidTr="00936FBA">
        <w:tc>
          <w:tcPr>
            <w:tcW w:w="498" w:type="pct"/>
            <w:vMerge/>
            <w:shd w:val="clear" w:color="auto" w:fill="auto"/>
          </w:tcPr>
          <w:p w:rsidR="00BE3DE3" w:rsidRPr="00A27237" w:rsidRDefault="00BE3DE3" w:rsidP="00936FBA">
            <w:pPr>
              <w:suppressAutoHyphens/>
              <w:rPr>
                <w:highlight w:val="darkYellow"/>
                <w:lang w:val="en-GB"/>
              </w:rPr>
            </w:pPr>
          </w:p>
        </w:tc>
        <w:tc>
          <w:tcPr>
            <w:tcW w:w="1467" w:type="pct"/>
            <w:gridSpan w:val="2"/>
            <w:vMerge w:val="restart"/>
            <w:shd w:val="clear" w:color="auto" w:fill="auto"/>
          </w:tcPr>
          <w:p w:rsidR="00BE3DE3" w:rsidRPr="00A27237" w:rsidRDefault="00BE3DE3" w:rsidP="00936FBA">
            <w:pPr>
              <w:pStyle w:val="RepTable"/>
              <w:suppressAutoHyphens/>
              <w:rPr>
                <w:highlight w:val="darkYellow"/>
              </w:rPr>
            </w:pPr>
            <w:r w:rsidRPr="00A27237">
              <w:rPr>
                <w:noProof w:val="0"/>
                <w:highlight w:val="darkYellow"/>
              </w:rPr>
              <w:t>STEP 5</w:t>
            </w: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Refined risk assessment</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N/A*</w:t>
            </w:r>
          </w:p>
        </w:tc>
      </w:tr>
      <w:tr w:rsidR="00BE3DE3" w:rsidRPr="00A27237" w:rsidTr="00936FBA">
        <w:tc>
          <w:tcPr>
            <w:tcW w:w="498" w:type="pct"/>
            <w:vMerge/>
            <w:shd w:val="clear" w:color="auto" w:fill="auto"/>
          </w:tcPr>
          <w:p w:rsidR="00BE3DE3" w:rsidRPr="00A27237" w:rsidRDefault="00BE3DE3" w:rsidP="00936FBA">
            <w:pPr>
              <w:keepNext/>
              <w:suppressAutoHyphens/>
              <w:rPr>
                <w:highlight w:val="darkYellow"/>
                <w:lang w:val="en-GB"/>
              </w:rPr>
            </w:pPr>
          </w:p>
        </w:tc>
        <w:tc>
          <w:tcPr>
            <w:tcW w:w="1467" w:type="pct"/>
            <w:gridSpan w:val="2"/>
            <w:vMerge/>
            <w:shd w:val="clear" w:color="auto" w:fill="auto"/>
          </w:tcPr>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Predicted exposure (% of ADI)</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N/A*</w:t>
            </w:r>
          </w:p>
        </w:tc>
      </w:tr>
      <w:tr w:rsidR="00BE3DE3" w:rsidRPr="00A27237" w:rsidTr="00936FBA">
        <w:tc>
          <w:tcPr>
            <w:tcW w:w="498" w:type="pct"/>
            <w:vMerge/>
            <w:shd w:val="clear" w:color="auto" w:fill="auto"/>
          </w:tcPr>
          <w:p w:rsidR="00BE3DE3" w:rsidRPr="00A27237" w:rsidRDefault="00BE3DE3" w:rsidP="00936FBA">
            <w:pPr>
              <w:keepNext/>
              <w:suppressAutoHyphens/>
              <w:rPr>
                <w:highlight w:val="darkYellow"/>
                <w:lang w:val="en-GB"/>
              </w:rPr>
            </w:pPr>
          </w:p>
        </w:tc>
        <w:tc>
          <w:tcPr>
            <w:tcW w:w="1467" w:type="pct"/>
            <w:gridSpan w:val="2"/>
            <w:shd w:val="clear" w:color="auto" w:fill="auto"/>
          </w:tcPr>
          <w:p w:rsidR="00BE3DE3" w:rsidRPr="00A27237" w:rsidRDefault="00BE3DE3" w:rsidP="00936FBA">
            <w:pPr>
              <w:suppressAutoHyphens/>
              <w:rPr>
                <w:highlight w:val="darkYellow"/>
                <w:lang w:val="en-GB"/>
              </w:rPr>
            </w:pPr>
          </w:p>
        </w:tc>
        <w:tc>
          <w:tcPr>
            <w:tcW w:w="1518" w:type="pct"/>
            <w:shd w:val="clear" w:color="auto" w:fill="auto"/>
          </w:tcPr>
          <w:p w:rsidR="00BE3DE3" w:rsidRPr="00A27237" w:rsidRDefault="00BE3DE3" w:rsidP="00936FBA">
            <w:pPr>
              <w:pStyle w:val="RepTable"/>
              <w:suppressAutoHyphens/>
              <w:rPr>
                <w:highlight w:val="darkYellow"/>
              </w:rPr>
            </w:pPr>
            <w:r w:rsidRPr="00A27237">
              <w:rPr>
                <w:noProof w:val="0"/>
                <w:highlight w:val="darkYellow"/>
              </w:rPr>
              <w:t>ADI based on</w:t>
            </w:r>
          </w:p>
        </w:tc>
        <w:tc>
          <w:tcPr>
            <w:tcW w:w="1516" w:type="pct"/>
            <w:shd w:val="clear" w:color="auto" w:fill="auto"/>
          </w:tcPr>
          <w:p w:rsidR="00BE3DE3" w:rsidRPr="00A27237" w:rsidRDefault="00BE3DE3" w:rsidP="00936FBA">
            <w:pPr>
              <w:pStyle w:val="RepTable"/>
              <w:suppressAutoHyphens/>
              <w:rPr>
                <w:highlight w:val="darkYellow"/>
              </w:rPr>
            </w:pPr>
            <w:r w:rsidRPr="00A27237">
              <w:rPr>
                <w:highlight w:val="darkYellow"/>
              </w:rPr>
              <w:t>N/A*</w:t>
            </w:r>
          </w:p>
        </w:tc>
      </w:tr>
    </w:tbl>
    <w:p w:rsidR="00BE3DE3" w:rsidRPr="00166BAB" w:rsidRDefault="00BE3DE3" w:rsidP="00BE3DE3">
      <w:pPr>
        <w:pStyle w:val="RepTableFootnote"/>
        <w:suppressAutoHyphens/>
        <w:rPr>
          <w:lang w:val="en-GB"/>
        </w:rPr>
      </w:pPr>
      <w:r w:rsidRPr="00A27237">
        <w:rPr>
          <w:highlight w:val="darkYellow"/>
          <w:lang w:val="en-GB"/>
        </w:rPr>
        <w:t>*</w:t>
      </w:r>
      <w:r w:rsidRPr="00A27237">
        <w:rPr>
          <w:highlight w:val="darkYellow"/>
          <w:lang w:val="en-GB"/>
        </w:rPr>
        <w:tab/>
        <w:t>N/A: not applicable</w:t>
      </w:r>
    </w:p>
    <w:bookmarkEnd w:id="189"/>
    <w:p w:rsidR="00BE3DE3" w:rsidRDefault="00BE3DE3" w:rsidP="00BE3DE3">
      <w:pPr>
        <w:tabs>
          <w:tab w:val="center" w:pos="2124"/>
        </w:tabs>
        <w:spacing w:after="33" w:line="248" w:lineRule="auto"/>
        <w:ind w:left="-8"/>
        <w:rPr>
          <w:sz w:val="18"/>
        </w:rPr>
      </w:pPr>
    </w:p>
    <w:p w:rsidR="00BE3DE3" w:rsidRDefault="00BE3DE3" w:rsidP="009C5765">
      <w:pPr>
        <w:pStyle w:val="RepStandard"/>
        <w:suppressAutoHyphens/>
      </w:pPr>
    </w:p>
    <w:p w:rsidR="00BE3DE3" w:rsidRDefault="00BE3DE3" w:rsidP="009C5765">
      <w:pPr>
        <w:pStyle w:val="RepStandard"/>
        <w:suppressAutoHyphens/>
      </w:pPr>
    </w:p>
    <w:p w:rsidR="00BE3DE3" w:rsidRDefault="00BE3DE3" w:rsidP="009C5765">
      <w:pPr>
        <w:pStyle w:val="RepStandard"/>
        <w:suppressAutoHyphens/>
      </w:pPr>
    </w:p>
    <w:p w:rsidR="00BE3DE3" w:rsidRDefault="00BE3DE3" w:rsidP="009C5765">
      <w:pPr>
        <w:pStyle w:val="RepStandard"/>
        <w:suppressAutoHyphens/>
      </w:pPr>
    </w:p>
    <w:p w:rsidR="00BE3DE3" w:rsidRDefault="00BE3DE3" w:rsidP="009C5765">
      <w:pPr>
        <w:pStyle w:val="RepStandard"/>
        <w:suppressAutoHyphens/>
      </w:pPr>
    </w:p>
    <w:p w:rsidR="00BE3DE3" w:rsidRDefault="00BE3DE3" w:rsidP="009C5765">
      <w:pPr>
        <w:pStyle w:val="RepStandard"/>
        <w:suppressAutoHyphens/>
      </w:pPr>
    </w:p>
    <w:p w:rsidR="001C0D8F" w:rsidRPr="001C0D8F" w:rsidRDefault="001C0D8F" w:rsidP="001C0D8F">
      <w:pPr>
        <w:pStyle w:val="Nagwek3"/>
        <w:keepLines/>
        <w:widowControl/>
        <w:tabs>
          <w:tab w:val="clear" w:pos="1417"/>
        </w:tabs>
        <w:suppressAutoHyphens w:val="0"/>
        <w:spacing w:after="210" w:line="249" w:lineRule="auto"/>
        <w:ind w:left="1408" w:hanging="1416"/>
        <w:jc w:val="left"/>
      </w:pPr>
      <w:bookmarkStart w:id="190" w:name="_Toc179811290"/>
      <w:r>
        <w:lastRenderedPageBreak/>
        <w:t xml:space="preserve">Metabolite </w:t>
      </w:r>
      <w:r w:rsidR="009C5765" w:rsidRPr="009C5765">
        <w:rPr>
          <w:highlight w:val="cyan"/>
        </w:rPr>
        <w:t>2</w:t>
      </w:r>
      <w:r>
        <w:t xml:space="preserve"> - AE F160460, metabolite of </w:t>
      </w:r>
      <w:proofErr w:type="spellStart"/>
      <w:r>
        <w:t>mesosulfuron</w:t>
      </w:r>
      <w:proofErr w:type="spellEnd"/>
      <w:r>
        <w:t>-methyl</w:t>
      </w:r>
      <w:bookmarkEnd w:id="190"/>
      <w:r>
        <w:t xml:space="preserve"> </w:t>
      </w:r>
      <w:bookmarkEnd w:id="183"/>
    </w:p>
    <w:p w:rsidR="001C0D8F" w:rsidRDefault="001C0D8F" w:rsidP="001C0D8F">
      <w:pPr>
        <w:spacing w:after="240" w:line="248" w:lineRule="auto"/>
        <w:ind w:left="2" w:hanging="10"/>
      </w:pPr>
      <w:r>
        <w:t xml:space="preserve">An overview of the results of the accepted toxicological studies for groundwater metabolite AE F160460 is given in the following table.  </w:t>
      </w:r>
      <w:bookmarkEnd w:id="184"/>
    </w:p>
    <w:p w:rsidR="001C0D8F" w:rsidRPr="001C0D8F" w:rsidRDefault="001C0D8F" w:rsidP="001C0D8F">
      <w:pPr>
        <w:rPr>
          <w:b/>
          <w:color w:val="000000"/>
          <w:kern w:val="2"/>
          <w:sz w:val="24"/>
          <w:lang w:val="en-IE" w:eastAsia="en-IE"/>
        </w:rPr>
      </w:pPr>
      <w:bookmarkStart w:id="191" w:name="_Hlk149644845"/>
      <w:r w:rsidRPr="001C0D8F">
        <w:rPr>
          <w:b/>
          <w:color w:val="000000"/>
          <w:kern w:val="2"/>
          <w:lang w:val="en-IE" w:eastAsia="en-IE"/>
        </w:rPr>
        <w:t xml:space="preserve">Table 6.4-1: </w:t>
      </w:r>
      <w:r w:rsidRPr="001C0D8F">
        <w:rPr>
          <w:b/>
          <w:color w:val="000000"/>
          <w:kern w:val="2"/>
          <w:lang w:val="en-IE" w:eastAsia="en-IE"/>
        </w:rPr>
        <w:tab/>
        <w:t xml:space="preserve">Summary of the results of toxicity studies for AE F160460 </w:t>
      </w:r>
    </w:p>
    <w:tbl>
      <w:tblPr>
        <w:tblStyle w:val="TableGrid"/>
        <w:tblW w:w="9576" w:type="dxa"/>
        <w:tblInd w:w="-108" w:type="dxa"/>
        <w:tblCellMar>
          <w:top w:w="7" w:type="dxa"/>
          <w:left w:w="108" w:type="dxa"/>
          <w:right w:w="56" w:type="dxa"/>
        </w:tblCellMar>
        <w:tblLook w:val="04A0"/>
      </w:tblPr>
      <w:tblGrid>
        <w:gridCol w:w="3944"/>
        <w:gridCol w:w="1128"/>
        <w:gridCol w:w="1558"/>
        <w:gridCol w:w="2946"/>
      </w:tblGrid>
      <w:tr w:rsidR="001C0D8F" w:rsidTr="00FB0266">
        <w:trPr>
          <w:trHeight w:val="262"/>
        </w:trPr>
        <w:tc>
          <w:tcPr>
            <w:tcW w:w="3944" w:type="dxa"/>
            <w:tcBorders>
              <w:top w:val="single" w:sz="4" w:space="0" w:color="000000"/>
              <w:left w:val="single" w:sz="4" w:space="0" w:color="000000"/>
              <w:bottom w:val="single" w:sz="4" w:space="0" w:color="000000"/>
              <w:right w:val="single" w:sz="4" w:space="0" w:color="000000"/>
            </w:tcBorders>
          </w:tcPr>
          <w:p w:rsidR="001C0D8F" w:rsidRPr="001C0D8F" w:rsidRDefault="001C0D8F" w:rsidP="001D131F">
            <w:pPr>
              <w:rPr>
                <w:b/>
                <w:bCs/>
                <w:sz w:val="20"/>
                <w:szCs w:val="20"/>
              </w:rPr>
            </w:pPr>
            <w:bookmarkStart w:id="192" w:name="_Hlk150254260"/>
            <w:r w:rsidRPr="001C0D8F">
              <w:rPr>
                <w:rFonts w:ascii="Times New Roman" w:hAnsi="Times New Roman"/>
                <w:b/>
                <w:bCs/>
                <w:sz w:val="20"/>
                <w:szCs w:val="20"/>
              </w:rPr>
              <w:t xml:space="preserve">Type of test, species (Guideline) </w:t>
            </w:r>
          </w:p>
        </w:tc>
        <w:tc>
          <w:tcPr>
            <w:tcW w:w="1128" w:type="dxa"/>
            <w:tcBorders>
              <w:top w:val="single" w:sz="4" w:space="0" w:color="000000"/>
              <w:left w:val="single" w:sz="4" w:space="0" w:color="000000"/>
              <w:bottom w:val="single" w:sz="4" w:space="0" w:color="000000"/>
              <w:right w:val="single" w:sz="4" w:space="0" w:color="000000"/>
            </w:tcBorders>
          </w:tcPr>
          <w:p w:rsidR="001C0D8F" w:rsidRPr="001C0D8F" w:rsidRDefault="001C0D8F" w:rsidP="001D131F">
            <w:pPr>
              <w:rPr>
                <w:b/>
                <w:bCs/>
                <w:sz w:val="20"/>
                <w:szCs w:val="20"/>
              </w:rPr>
            </w:pPr>
            <w:r w:rsidRPr="001C0D8F">
              <w:rPr>
                <w:rFonts w:ascii="Times New Roman" w:hAnsi="Times New Roman"/>
                <w:b/>
                <w:bCs/>
                <w:sz w:val="20"/>
                <w:szCs w:val="20"/>
              </w:rPr>
              <w:t xml:space="preserve">Result </w:t>
            </w:r>
          </w:p>
        </w:tc>
        <w:tc>
          <w:tcPr>
            <w:tcW w:w="155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rsidR="001C0D8F" w:rsidRPr="00FB0266" w:rsidRDefault="001C0D8F" w:rsidP="001D131F">
            <w:pPr>
              <w:rPr>
                <w:rFonts w:ascii="Times New Roman" w:hAnsi="Times New Roman"/>
                <w:b/>
                <w:bCs/>
                <w:sz w:val="20"/>
                <w:szCs w:val="20"/>
              </w:rPr>
            </w:pPr>
            <w:r w:rsidRPr="00FB0266">
              <w:rPr>
                <w:rFonts w:ascii="Times New Roman" w:hAnsi="Times New Roman"/>
                <w:b/>
                <w:bCs/>
                <w:sz w:val="20"/>
                <w:szCs w:val="20"/>
              </w:rPr>
              <w:t xml:space="preserve">Acceptability  </w:t>
            </w:r>
          </w:p>
        </w:tc>
        <w:tc>
          <w:tcPr>
            <w:tcW w:w="2946" w:type="dxa"/>
            <w:tcBorders>
              <w:top w:val="single" w:sz="4" w:space="0" w:color="000000"/>
              <w:left w:val="single" w:sz="4" w:space="0" w:color="000000"/>
              <w:bottom w:val="single" w:sz="4" w:space="0" w:color="000000"/>
              <w:right w:val="single" w:sz="4" w:space="0" w:color="000000"/>
            </w:tcBorders>
          </w:tcPr>
          <w:p w:rsidR="001C0D8F" w:rsidRPr="001C0D8F" w:rsidRDefault="001C0D8F" w:rsidP="001D131F">
            <w:pPr>
              <w:ind w:left="2"/>
              <w:rPr>
                <w:b/>
                <w:bCs/>
                <w:sz w:val="20"/>
                <w:szCs w:val="20"/>
              </w:rPr>
            </w:pPr>
            <w:r w:rsidRPr="001C0D8F">
              <w:rPr>
                <w:rFonts w:ascii="Times New Roman" w:hAnsi="Times New Roman"/>
                <w:b/>
                <w:bCs/>
                <w:sz w:val="20"/>
                <w:szCs w:val="20"/>
              </w:rPr>
              <w:t xml:space="preserve">Reference*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vAlign w:val="center"/>
          </w:tcPr>
          <w:p w:rsidR="00FB0266" w:rsidRPr="001C0D8F" w:rsidRDefault="00FB0266" w:rsidP="00FB0266">
            <w:pPr>
              <w:rPr>
                <w:sz w:val="20"/>
                <w:szCs w:val="20"/>
              </w:rPr>
            </w:pPr>
            <w:r w:rsidRPr="001C0D8F">
              <w:rPr>
                <w:rFonts w:ascii="Times New Roman" w:hAnsi="Times New Roman"/>
                <w:sz w:val="20"/>
                <w:szCs w:val="20"/>
              </w:rPr>
              <w:t xml:space="preserve">Ames Test on </w:t>
            </w:r>
            <w:r w:rsidRPr="001C0D8F">
              <w:rPr>
                <w:rFonts w:ascii="Times New Roman" w:hAnsi="Times New Roman"/>
                <w:i/>
                <w:iCs/>
                <w:sz w:val="20"/>
                <w:szCs w:val="20"/>
              </w:rPr>
              <w:t>Salmonella</w:t>
            </w:r>
            <w:r>
              <w:rPr>
                <w:rFonts w:ascii="Times New Roman" w:hAnsi="Times New Roman"/>
                <w:i/>
                <w:iCs/>
                <w:sz w:val="20"/>
                <w:szCs w:val="20"/>
              </w:rPr>
              <w:t xml:space="preserve"> </w:t>
            </w:r>
            <w:r w:rsidRPr="001C0D8F">
              <w:rPr>
                <w:rFonts w:ascii="Times New Roman" w:hAnsi="Times New Roman"/>
                <w:i/>
                <w:iCs/>
                <w:sz w:val="20"/>
                <w:szCs w:val="20"/>
              </w:rPr>
              <w:t>Typhimurium</w:t>
            </w:r>
            <w:r w:rsidRPr="001C0D8F">
              <w:rPr>
                <w:rFonts w:ascii="Times New Roman" w:hAnsi="Times New Roman"/>
                <w:sz w:val="20"/>
                <w:szCs w:val="20"/>
              </w:rPr>
              <w:t xml:space="preserve"> </w:t>
            </w:r>
          </w:p>
        </w:tc>
        <w:tc>
          <w:tcPr>
            <w:tcW w:w="1128" w:type="dxa"/>
            <w:tcBorders>
              <w:top w:val="single" w:sz="4" w:space="0" w:color="000000"/>
              <w:left w:val="single" w:sz="4" w:space="0" w:color="000000"/>
              <w:bottom w:val="single" w:sz="4" w:space="0" w:color="000000"/>
              <w:right w:val="single" w:sz="4" w:space="0" w:color="auto"/>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auto"/>
              <w:left w:val="single" w:sz="4" w:space="0" w:color="auto"/>
              <w:bottom w:val="single" w:sz="4" w:space="0" w:color="auto"/>
              <w:right w:val="single" w:sz="4" w:space="0" w:color="auto"/>
            </w:tcBorders>
            <w:shd w:val="clear" w:color="auto" w:fill="D9D9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auto"/>
              <w:bottom w:val="single" w:sz="4" w:space="0" w:color="000000"/>
              <w:right w:val="single" w:sz="4" w:space="0" w:color="000000"/>
            </w:tcBorders>
          </w:tcPr>
          <w:p w:rsidR="00FB0266" w:rsidRPr="00B27576" w:rsidRDefault="007D7911" w:rsidP="00FB0266">
            <w:pPr>
              <w:ind w:left="2" w:right="289"/>
              <w:jc w:val="both"/>
              <w:rPr>
                <w:sz w:val="20"/>
                <w:szCs w:val="20"/>
                <w:highlight w:val="yellow"/>
              </w:rPr>
            </w:pPr>
            <w:proofErr w:type="spellStart"/>
            <w:r w:rsidRPr="007D7911">
              <w:rPr>
                <w:rFonts w:ascii="Times New Roman" w:hAnsi="Times New Roman"/>
                <w:sz w:val="20"/>
                <w:szCs w:val="20"/>
                <w:highlight w:val="black"/>
              </w:rPr>
              <w:t>xxxxxxxxxxxx</w:t>
            </w:r>
            <w:proofErr w:type="spellEnd"/>
            <w:r w:rsidR="00FB0266" w:rsidRPr="008C3F5C">
              <w:rPr>
                <w:rFonts w:ascii="Times New Roman" w:hAnsi="Times New Roman"/>
                <w:sz w:val="20"/>
                <w:szCs w:val="20"/>
              </w:rPr>
              <w:t xml:space="preserve"> KCA 5.8.1 /04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sz w:val="20"/>
                <w:szCs w:val="20"/>
              </w:rPr>
            </w:pPr>
            <w:r w:rsidRPr="001C0D8F">
              <w:rPr>
                <w:rFonts w:ascii="Times New Roman" w:hAnsi="Times New Roman"/>
                <w:sz w:val="20"/>
                <w:szCs w:val="20"/>
              </w:rPr>
              <w:t xml:space="preserve">Chromosomal aberrations in Chinese Hamster V79 cells </w:t>
            </w:r>
          </w:p>
        </w:tc>
        <w:tc>
          <w:tcPr>
            <w:tcW w:w="1128" w:type="dxa"/>
            <w:tcBorders>
              <w:top w:val="single" w:sz="4" w:space="0" w:color="000000"/>
              <w:left w:val="single" w:sz="4" w:space="0" w:color="000000"/>
              <w:bottom w:val="single" w:sz="4" w:space="0" w:color="000000"/>
              <w:right w:val="single" w:sz="4" w:space="0" w:color="auto"/>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auto"/>
              <w:left w:val="single" w:sz="4" w:space="0" w:color="auto"/>
              <w:bottom w:val="single" w:sz="4" w:space="0" w:color="auto"/>
              <w:right w:val="single" w:sz="4" w:space="0" w:color="auto"/>
            </w:tcBorders>
            <w:shd w:val="clear" w:color="auto" w:fill="D9D9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auto"/>
              <w:bottom w:val="single" w:sz="4" w:space="0" w:color="000000"/>
              <w:right w:val="single" w:sz="4" w:space="0" w:color="000000"/>
            </w:tcBorders>
          </w:tcPr>
          <w:p w:rsidR="00FB0266" w:rsidRPr="008C3F5C" w:rsidRDefault="009E790F" w:rsidP="00FB0266">
            <w:pPr>
              <w:ind w:left="2" w:right="767"/>
              <w:jc w:val="both"/>
              <w:rPr>
                <w:sz w:val="20"/>
                <w:szCs w:val="20"/>
              </w:rPr>
            </w:pPr>
            <w:r w:rsidRPr="00FF3C47">
              <w:rPr>
                <w:rFonts w:ascii="Times New Roman" w:hAnsi="Times New Roman"/>
                <w:sz w:val="20"/>
                <w:szCs w:val="20"/>
                <w:highlight w:val="black"/>
              </w:rPr>
              <w:t>Anon.</w:t>
            </w:r>
            <w:r w:rsidR="00FB0266" w:rsidRPr="00FF3C47">
              <w:rPr>
                <w:rFonts w:ascii="Times New Roman" w:hAnsi="Times New Roman"/>
                <w:sz w:val="20"/>
                <w:szCs w:val="20"/>
                <w:highlight w:val="black"/>
              </w:rPr>
              <w:t xml:space="preserve"> 2012</w:t>
            </w:r>
            <w:r w:rsidR="00FB0266" w:rsidRPr="008C3F5C">
              <w:rPr>
                <w:rFonts w:ascii="Times New Roman" w:hAnsi="Times New Roman"/>
                <w:sz w:val="20"/>
                <w:szCs w:val="20"/>
              </w:rPr>
              <w:t xml:space="preserve"> KCA</w:t>
            </w:r>
            <w:r>
              <w:rPr>
                <w:rFonts w:ascii="Times New Roman" w:hAnsi="Times New Roman"/>
                <w:sz w:val="20"/>
                <w:szCs w:val="20"/>
              </w:rPr>
              <w:t xml:space="preserve"> </w:t>
            </w:r>
            <w:r w:rsidR="00FB0266" w:rsidRPr="008C3F5C">
              <w:rPr>
                <w:rFonts w:ascii="Times New Roman" w:hAnsi="Times New Roman"/>
                <w:sz w:val="20"/>
                <w:szCs w:val="20"/>
              </w:rPr>
              <w:t xml:space="preserve">5.8.1/05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sz w:val="20"/>
                <w:szCs w:val="20"/>
              </w:rPr>
            </w:pPr>
            <w:r w:rsidRPr="001C0D8F">
              <w:rPr>
                <w:rFonts w:ascii="Times New Roman" w:hAnsi="Times New Roman"/>
                <w:sz w:val="20"/>
                <w:szCs w:val="20"/>
              </w:rPr>
              <w:t>Gene mutation (HPRT)</w:t>
            </w:r>
            <w:r>
              <w:rPr>
                <w:rFonts w:ascii="Times New Roman" w:hAnsi="Times New Roman"/>
                <w:sz w:val="20"/>
                <w:szCs w:val="20"/>
              </w:rPr>
              <w:t xml:space="preserve"> </w:t>
            </w:r>
            <w:r w:rsidRPr="001C0D8F">
              <w:rPr>
                <w:rFonts w:ascii="Times New Roman" w:hAnsi="Times New Roman"/>
                <w:sz w:val="20"/>
                <w:szCs w:val="20"/>
              </w:rPr>
              <w:t xml:space="preserve">in Chinese Hamster V79 cells </w:t>
            </w:r>
          </w:p>
        </w:tc>
        <w:tc>
          <w:tcPr>
            <w:tcW w:w="1128" w:type="dxa"/>
            <w:tcBorders>
              <w:top w:val="single" w:sz="4" w:space="0" w:color="000000"/>
              <w:left w:val="single" w:sz="4" w:space="0" w:color="000000"/>
              <w:bottom w:val="single" w:sz="4" w:space="0" w:color="000000"/>
              <w:right w:val="single" w:sz="4" w:space="0" w:color="auto"/>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auto"/>
              <w:left w:val="single" w:sz="4" w:space="0" w:color="auto"/>
              <w:bottom w:val="single" w:sz="4" w:space="0" w:color="auto"/>
              <w:right w:val="single" w:sz="4" w:space="0" w:color="auto"/>
            </w:tcBorders>
            <w:shd w:val="clear" w:color="auto" w:fill="D9D9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auto"/>
              <w:bottom w:val="single" w:sz="4" w:space="0" w:color="000000"/>
              <w:right w:val="single" w:sz="4" w:space="0" w:color="000000"/>
            </w:tcBorders>
          </w:tcPr>
          <w:p w:rsidR="00FB0266" w:rsidRPr="008C3F5C" w:rsidRDefault="009E790F" w:rsidP="00FB0266">
            <w:pPr>
              <w:ind w:left="2" w:right="553"/>
              <w:rPr>
                <w:sz w:val="20"/>
                <w:szCs w:val="20"/>
              </w:rPr>
            </w:pPr>
            <w:r w:rsidRPr="00FF3C47">
              <w:rPr>
                <w:rFonts w:ascii="Times New Roman" w:hAnsi="Times New Roman"/>
                <w:sz w:val="20"/>
                <w:szCs w:val="20"/>
                <w:highlight w:val="black"/>
              </w:rPr>
              <w:t xml:space="preserve">Anon, </w:t>
            </w:r>
            <w:r w:rsidR="00FB0266" w:rsidRPr="00FF3C47">
              <w:rPr>
                <w:rFonts w:ascii="Times New Roman" w:hAnsi="Times New Roman"/>
                <w:sz w:val="20"/>
                <w:szCs w:val="20"/>
                <w:highlight w:val="black"/>
              </w:rPr>
              <w:t>2015</w:t>
            </w:r>
            <w:r w:rsidR="00FB0266" w:rsidRPr="008C3F5C">
              <w:rPr>
                <w:rFonts w:ascii="Times New Roman" w:hAnsi="Times New Roman"/>
                <w:sz w:val="20"/>
                <w:szCs w:val="20"/>
              </w:rPr>
              <w:t xml:space="preserve"> KCA 5.8.1 /06 </w:t>
            </w:r>
          </w:p>
        </w:tc>
      </w:tr>
    </w:tbl>
    <w:bookmarkEnd w:id="192"/>
    <w:p w:rsidR="001C0D8F" w:rsidRDefault="001C0D8F" w:rsidP="001C0D8F">
      <w:pPr>
        <w:tabs>
          <w:tab w:val="center" w:pos="2124"/>
        </w:tabs>
        <w:spacing w:after="538" w:line="248" w:lineRule="auto"/>
        <w:ind w:left="-8"/>
        <w:rPr>
          <w:sz w:val="18"/>
        </w:rPr>
      </w:pPr>
      <w:r>
        <w:rPr>
          <w:sz w:val="18"/>
        </w:rPr>
        <w:t xml:space="preserve">* </w:t>
      </w:r>
      <w:r>
        <w:rPr>
          <w:sz w:val="18"/>
        </w:rPr>
        <w:tab/>
        <w:t xml:space="preserve">indicates that a study was reviewed at EU level </w:t>
      </w:r>
    </w:p>
    <w:p w:rsidR="001C0D8F" w:rsidRPr="001C0D8F" w:rsidRDefault="001C0D8F" w:rsidP="001C0D8F">
      <w:pPr>
        <w:pStyle w:val="Nagwek3"/>
      </w:pPr>
      <w:bookmarkStart w:id="193" w:name="_Toc179811291"/>
      <w:bookmarkStart w:id="194" w:name="_Toc226883"/>
      <w:bookmarkStart w:id="195" w:name="_Hlk149644976"/>
      <w:bookmarkEnd w:id="191"/>
      <w:r>
        <w:t xml:space="preserve">Metabolite </w:t>
      </w:r>
      <w:r w:rsidR="009C5765" w:rsidRPr="009C5765">
        <w:rPr>
          <w:highlight w:val="cyan"/>
        </w:rPr>
        <w:t>3</w:t>
      </w:r>
      <w:r>
        <w:t xml:space="preserve"> - AE F147447, metabolite of </w:t>
      </w:r>
      <w:proofErr w:type="spellStart"/>
      <w:r>
        <w:t>mesosulfuron</w:t>
      </w:r>
      <w:proofErr w:type="spellEnd"/>
      <w:r>
        <w:t>-methyl</w:t>
      </w:r>
      <w:bookmarkEnd w:id="193"/>
      <w:r>
        <w:t xml:space="preserve"> </w:t>
      </w:r>
      <w:bookmarkEnd w:id="194"/>
      <w:r>
        <w:t xml:space="preserve"> </w:t>
      </w:r>
    </w:p>
    <w:bookmarkEnd w:id="195"/>
    <w:p w:rsidR="001C0D8F" w:rsidRDefault="001C0D8F" w:rsidP="001C0D8F">
      <w:pPr>
        <w:spacing w:after="53" w:line="248" w:lineRule="auto"/>
        <w:ind w:left="2" w:hanging="10"/>
      </w:pPr>
      <w:r>
        <w:t xml:space="preserve">An overview of the results of the accepted toxicological studies for groundwater metabolite AE F147447 is given in the following table.  </w:t>
      </w:r>
    </w:p>
    <w:p w:rsidR="001C0D8F" w:rsidRPr="001C0D8F" w:rsidRDefault="001C0D8F" w:rsidP="001C0D8F">
      <w:pPr>
        <w:spacing w:before="240"/>
        <w:rPr>
          <w:b/>
          <w:color w:val="000000"/>
          <w:kern w:val="2"/>
          <w:sz w:val="24"/>
          <w:lang w:val="en-IE" w:eastAsia="en-IE"/>
        </w:rPr>
      </w:pPr>
      <w:r w:rsidRPr="001C0D8F">
        <w:rPr>
          <w:b/>
          <w:color w:val="000000"/>
          <w:kern w:val="2"/>
          <w:lang w:val="en-IE" w:eastAsia="en-IE"/>
        </w:rPr>
        <w:t xml:space="preserve">Table 6.4-2: </w:t>
      </w:r>
      <w:r w:rsidRPr="001C0D8F">
        <w:rPr>
          <w:b/>
          <w:color w:val="000000"/>
          <w:kern w:val="2"/>
          <w:lang w:val="en-IE" w:eastAsia="en-IE"/>
        </w:rPr>
        <w:tab/>
        <w:t>Summary of the results of toxicity studies for AE F147447</w:t>
      </w:r>
    </w:p>
    <w:tbl>
      <w:tblPr>
        <w:tblStyle w:val="TableGrid"/>
        <w:tblW w:w="9576" w:type="dxa"/>
        <w:tblInd w:w="-108" w:type="dxa"/>
        <w:tblCellMar>
          <w:top w:w="7" w:type="dxa"/>
          <w:left w:w="108" w:type="dxa"/>
          <w:right w:w="56" w:type="dxa"/>
        </w:tblCellMar>
        <w:tblLook w:val="04A0"/>
      </w:tblPr>
      <w:tblGrid>
        <w:gridCol w:w="3944"/>
        <w:gridCol w:w="1128"/>
        <w:gridCol w:w="1558"/>
        <w:gridCol w:w="2946"/>
      </w:tblGrid>
      <w:tr w:rsidR="00FB0266" w:rsidTr="00FB0266">
        <w:trPr>
          <w:trHeight w:val="262"/>
        </w:trPr>
        <w:tc>
          <w:tcPr>
            <w:tcW w:w="3944"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b/>
                <w:bCs/>
                <w:sz w:val="20"/>
                <w:szCs w:val="20"/>
              </w:rPr>
            </w:pPr>
            <w:r w:rsidRPr="001C0D8F">
              <w:rPr>
                <w:rFonts w:ascii="Times New Roman" w:hAnsi="Times New Roman"/>
                <w:b/>
                <w:bCs/>
                <w:sz w:val="20"/>
                <w:szCs w:val="20"/>
              </w:rPr>
              <w:t xml:space="preserve">Type of test, species (Guideline) </w:t>
            </w:r>
          </w:p>
        </w:tc>
        <w:tc>
          <w:tcPr>
            <w:tcW w:w="1128"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b/>
                <w:bCs/>
                <w:sz w:val="20"/>
                <w:szCs w:val="20"/>
              </w:rPr>
            </w:pPr>
            <w:r w:rsidRPr="001C0D8F">
              <w:rPr>
                <w:rFonts w:ascii="Times New Roman" w:hAnsi="Times New Roman"/>
                <w:b/>
                <w:bCs/>
                <w:sz w:val="20"/>
                <w:szCs w:val="20"/>
              </w:rPr>
              <w:t xml:space="preserve">Result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FB0266" w:rsidRDefault="00FB0266" w:rsidP="00FB0266">
            <w:pPr>
              <w:rPr>
                <w:rFonts w:ascii="Times New Roman" w:hAnsi="Times New Roman"/>
                <w:b/>
                <w:bCs/>
                <w:sz w:val="20"/>
                <w:szCs w:val="20"/>
              </w:rPr>
            </w:pPr>
            <w:r w:rsidRPr="00FB0266">
              <w:rPr>
                <w:rFonts w:ascii="Times New Roman" w:hAnsi="Times New Roman"/>
                <w:b/>
                <w:bCs/>
                <w:sz w:val="20"/>
                <w:szCs w:val="20"/>
              </w:rPr>
              <w:t xml:space="preserve">Acceptability  </w:t>
            </w:r>
          </w:p>
        </w:tc>
        <w:tc>
          <w:tcPr>
            <w:tcW w:w="2946"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ind w:left="2"/>
              <w:rPr>
                <w:b/>
                <w:bCs/>
                <w:sz w:val="20"/>
                <w:szCs w:val="20"/>
              </w:rPr>
            </w:pPr>
            <w:r w:rsidRPr="001C0D8F">
              <w:rPr>
                <w:rFonts w:ascii="Times New Roman" w:hAnsi="Times New Roman"/>
                <w:b/>
                <w:bCs/>
                <w:sz w:val="20"/>
                <w:szCs w:val="20"/>
              </w:rPr>
              <w:t xml:space="preserve">Reference*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vAlign w:val="center"/>
          </w:tcPr>
          <w:p w:rsidR="00FB0266" w:rsidRPr="001C0D8F" w:rsidRDefault="00FB0266" w:rsidP="00FB0266">
            <w:pPr>
              <w:rPr>
                <w:sz w:val="20"/>
                <w:szCs w:val="20"/>
              </w:rPr>
            </w:pPr>
            <w:r w:rsidRPr="001C0D8F">
              <w:rPr>
                <w:rFonts w:ascii="Times New Roman" w:hAnsi="Times New Roman"/>
                <w:sz w:val="20"/>
                <w:szCs w:val="20"/>
              </w:rPr>
              <w:t xml:space="preserve">Ames Test on </w:t>
            </w:r>
            <w:r w:rsidRPr="001C0D8F">
              <w:rPr>
                <w:rFonts w:ascii="Times New Roman" w:hAnsi="Times New Roman"/>
                <w:i/>
                <w:iCs/>
                <w:sz w:val="20"/>
                <w:szCs w:val="20"/>
              </w:rPr>
              <w:t>Salmonella Typhimurium</w:t>
            </w:r>
            <w:r w:rsidRPr="001C0D8F">
              <w:rPr>
                <w:rFonts w:ascii="Times New Roman" w:hAnsi="Times New Roman"/>
                <w:sz w:val="20"/>
                <w:szCs w:val="20"/>
              </w:rPr>
              <w:t xml:space="preserve">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tcPr>
          <w:p w:rsidR="00FB0266" w:rsidRPr="008C3F5C" w:rsidRDefault="00FB0266" w:rsidP="00FB0266">
            <w:pPr>
              <w:ind w:left="2" w:right="289"/>
              <w:jc w:val="both"/>
              <w:rPr>
                <w:sz w:val="20"/>
                <w:szCs w:val="20"/>
              </w:rPr>
            </w:pPr>
            <w:r w:rsidRPr="00FF3C47">
              <w:rPr>
                <w:rFonts w:ascii="Times New Roman" w:hAnsi="Times New Roman"/>
                <w:sz w:val="20"/>
                <w:szCs w:val="20"/>
                <w:highlight w:val="black"/>
              </w:rPr>
              <w:t>Sokolowski A</w:t>
            </w:r>
            <w:r w:rsidRPr="008C3F5C">
              <w:rPr>
                <w:rFonts w:ascii="Times New Roman" w:hAnsi="Times New Roman"/>
                <w:sz w:val="20"/>
                <w:szCs w:val="20"/>
              </w:rPr>
              <w:t xml:space="preserve">., 2012 KCA 5.8.1 /01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sz w:val="20"/>
                <w:szCs w:val="20"/>
              </w:rPr>
            </w:pPr>
            <w:r w:rsidRPr="001C0D8F">
              <w:rPr>
                <w:rFonts w:ascii="Times New Roman" w:hAnsi="Times New Roman"/>
                <w:sz w:val="20"/>
                <w:szCs w:val="20"/>
              </w:rPr>
              <w:t xml:space="preserve">Chromosomal aberrations in Chinese Hamster V79 cells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tcPr>
          <w:p w:rsidR="00FB0266" w:rsidRPr="008C3F5C" w:rsidRDefault="009E790F" w:rsidP="00FB0266">
            <w:pPr>
              <w:ind w:left="2" w:right="767"/>
              <w:jc w:val="both"/>
              <w:rPr>
                <w:sz w:val="20"/>
                <w:szCs w:val="20"/>
              </w:rPr>
            </w:pPr>
            <w:r w:rsidRPr="00FF3C47">
              <w:rPr>
                <w:rFonts w:ascii="Times New Roman" w:hAnsi="Times New Roman"/>
                <w:sz w:val="20"/>
                <w:szCs w:val="20"/>
                <w:highlight w:val="black"/>
              </w:rPr>
              <w:t>Anon,</w:t>
            </w:r>
            <w:r w:rsidR="00FB0266" w:rsidRPr="00FF3C47">
              <w:rPr>
                <w:rFonts w:ascii="Times New Roman" w:hAnsi="Times New Roman"/>
                <w:sz w:val="20"/>
                <w:szCs w:val="20"/>
                <w:highlight w:val="black"/>
              </w:rPr>
              <w:t xml:space="preserve"> 2015</w:t>
            </w:r>
            <w:r w:rsidR="00FB0266" w:rsidRPr="008C3F5C">
              <w:rPr>
                <w:rFonts w:ascii="Times New Roman" w:hAnsi="Times New Roman"/>
                <w:sz w:val="20"/>
                <w:szCs w:val="20"/>
              </w:rPr>
              <w:t xml:space="preserve"> KCA 5.8.1 /02 </w:t>
            </w:r>
          </w:p>
        </w:tc>
      </w:tr>
      <w:tr w:rsidR="00FB0266" w:rsidTr="00FB0266">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1C0D8F" w:rsidRDefault="00FB0266" w:rsidP="00FB0266">
            <w:pPr>
              <w:rPr>
                <w:sz w:val="20"/>
                <w:szCs w:val="20"/>
              </w:rPr>
            </w:pPr>
            <w:r w:rsidRPr="001C0D8F">
              <w:rPr>
                <w:rFonts w:ascii="Times New Roman" w:hAnsi="Times New Roman"/>
                <w:sz w:val="20"/>
                <w:szCs w:val="20"/>
              </w:rPr>
              <w:t xml:space="preserve">Gene mutation (HPRT) in Chinese Hamster V79 cells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1C0D8F" w:rsidRDefault="00FB0266" w:rsidP="00FB0266">
            <w:pPr>
              <w:rPr>
                <w:sz w:val="20"/>
                <w:szCs w:val="20"/>
              </w:rPr>
            </w:pPr>
            <w:r w:rsidRPr="001C0D8F">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FB0266" w:rsidRDefault="00FB0266" w:rsidP="002121BC">
            <w:pPr>
              <w:rPr>
                <w:rFonts w:ascii="Times New Roman" w:hAnsi="Times New Roman"/>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tcPr>
          <w:p w:rsidR="00FB0266" w:rsidRPr="008C3F5C" w:rsidRDefault="009E790F" w:rsidP="00FB0266">
            <w:pPr>
              <w:ind w:left="2" w:right="553"/>
              <w:rPr>
                <w:sz w:val="20"/>
                <w:szCs w:val="20"/>
              </w:rPr>
            </w:pPr>
            <w:r w:rsidRPr="00FF3C47">
              <w:rPr>
                <w:rFonts w:ascii="Times New Roman" w:hAnsi="Times New Roman"/>
                <w:sz w:val="20"/>
                <w:szCs w:val="20"/>
                <w:highlight w:val="black"/>
              </w:rPr>
              <w:t>Anon,</w:t>
            </w:r>
            <w:r w:rsidR="00FB0266" w:rsidRPr="00FF3C47">
              <w:rPr>
                <w:rFonts w:ascii="Times New Roman" w:hAnsi="Times New Roman"/>
                <w:sz w:val="20"/>
                <w:szCs w:val="20"/>
                <w:highlight w:val="black"/>
              </w:rPr>
              <w:t xml:space="preserve"> 2012</w:t>
            </w:r>
            <w:r w:rsidR="00FB0266" w:rsidRPr="008C3F5C">
              <w:rPr>
                <w:rFonts w:ascii="Times New Roman" w:hAnsi="Times New Roman"/>
                <w:sz w:val="20"/>
                <w:szCs w:val="20"/>
              </w:rPr>
              <w:t xml:space="preserve"> KCA 5.8.1 /03 </w:t>
            </w:r>
          </w:p>
        </w:tc>
      </w:tr>
    </w:tbl>
    <w:p w:rsidR="001C0D8F" w:rsidRDefault="001C0D8F" w:rsidP="001C0D8F">
      <w:pPr>
        <w:tabs>
          <w:tab w:val="center" w:pos="2124"/>
        </w:tabs>
        <w:spacing w:line="248" w:lineRule="auto"/>
        <w:ind w:left="-8"/>
        <w:rPr>
          <w:sz w:val="18"/>
        </w:rPr>
      </w:pPr>
      <w:r>
        <w:rPr>
          <w:sz w:val="18"/>
        </w:rPr>
        <w:t xml:space="preserve">* </w:t>
      </w:r>
      <w:r>
        <w:rPr>
          <w:sz w:val="18"/>
        </w:rPr>
        <w:tab/>
        <w:t xml:space="preserve">indicates that a study was reviewed at EU level </w:t>
      </w:r>
    </w:p>
    <w:p w:rsidR="001C0D8F" w:rsidRPr="001C0D8F" w:rsidRDefault="00B27576" w:rsidP="00B27576">
      <w:pPr>
        <w:pStyle w:val="Nagwek3"/>
      </w:pPr>
      <w:bookmarkStart w:id="196" w:name="_Toc179811292"/>
      <w:bookmarkStart w:id="197" w:name="_Toc226884"/>
      <w:r>
        <w:t xml:space="preserve">Metabolite </w:t>
      </w:r>
      <w:r w:rsidR="009C5765" w:rsidRPr="009C5765">
        <w:rPr>
          <w:highlight w:val="cyan"/>
        </w:rPr>
        <w:t>4</w:t>
      </w:r>
      <w:r>
        <w:t xml:space="preserve"> - BCS-CV14885, metabolite of </w:t>
      </w:r>
      <w:proofErr w:type="spellStart"/>
      <w:r>
        <w:t>mesosulfuron</w:t>
      </w:r>
      <w:proofErr w:type="spellEnd"/>
      <w:r>
        <w:t>-methyl</w:t>
      </w:r>
      <w:bookmarkEnd w:id="196"/>
      <w:r>
        <w:t xml:space="preserve"> </w:t>
      </w:r>
      <w:bookmarkEnd w:id="197"/>
      <w:r w:rsidR="001C0D8F">
        <w:t xml:space="preserve">  </w:t>
      </w:r>
    </w:p>
    <w:p w:rsidR="001C0D8F" w:rsidRDefault="001C0D8F" w:rsidP="001C0D8F">
      <w:pPr>
        <w:spacing w:after="237" w:line="248" w:lineRule="auto"/>
        <w:ind w:left="2" w:hanging="10"/>
      </w:pPr>
      <w:r>
        <w:t>An overview of the results of the accepted toxicological studies for groundwater metabolite BCS</w:t>
      </w:r>
      <w:r w:rsidR="00B27576">
        <w:t xml:space="preserve"> </w:t>
      </w:r>
      <w:r>
        <w:t xml:space="preserve">CV14885 is given in the following table.  </w:t>
      </w:r>
    </w:p>
    <w:p w:rsidR="001C0D8F" w:rsidRPr="00B27576" w:rsidRDefault="00B27576" w:rsidP="00B27576">
      <w:pPr>
        <w:keepNext/>
        <w:keepLines/>
        <w:tabs>
          <w:tab w:val="center" w:pos="4809"/>
        </w:tabs>
        <w:spacing w:after="107" w:line="248" w:lineRule="auto"/>
        <w:ind w:left="-8"/>
        <w:outlineLvl w:val="7"/>
        <w:rPr>
          <w:b/>
          <w:color w:val="000000"/>
          <w:kern w:val="2"/>
          <w:sz w:val="24"/>
          <w:lang w:val="en-IE" w:eastAsia="en-IE"/>
        </w:rPr>
      </w:pPr>
      <w:r w:rsidRPr="00B27576">
        <w:rPr>
          <w:b/>
          <w:color w:val="000000"/>
          <w:kern w:val="2"/>
          <w:lang w:val="en-IE" w:eastAsia="en-IE"/>
        </w:rPr>
        <w:t>Table 6.4-</w:t>
      </w:r>
      <w:r>
        <w:rPr>
          <w:b/>
          <w:color w:val="000000"/>
          <w:kern w:val="2"/>
          <w:lang w:val="en-IE" w:eastAsia="en-IE"/>
        </w:rPr>
        <w:t>3</w:t>
      </w:r>
      <w:r w:rsidRPr="00B27576">
        <w:rPr>
          <w:b/>
          <w:color w:val="000000"/>
          <w:kern w:val="2"/>
          <w:lang w:val="en-IE" w:eastAsia="en-IE"/>
        </w:rPr>
        <w:t xml:space="preserve">: </w:t>
      </w:r>
      <w:r w:rsidRPr="00B27576">
        <w:rPr>
          <w:b/>
          <w:color w:val="000000"/>
          <w:kern w:val="2"/>
          <w:lang w:val="en-IE" w:eastAsia="en-IE"/>
        </w:rPr>
        <w:tab/>
        <w:t xml:space="preserve">Summary of the results of toxicity studies for BCS-CV14885 </w:t>
      </w:r>
    </w:p>
    <w:tbl>
      <w:tblPr>
        <w:tblStyle w:val="TableGrid"/>
        <w:tblW w:w="9576" w:type="dxa"/>
        <w:tblInd w:w="-108" w:type="dxa"/>
        <w:tblCellMar>
          <w:top w:w="7" w:type="dxa"/>
          <w:left w:w="108" w:type="dxa"/>
          <w:right w:w="60" w:type="dxa"/>
        </w:tblCellMar>
        <w:tblLook w:val="04A0"/>
      </w:tblPr>
      <w:tblGrid>
        <w:gridCol w:w="3944"/>
        <w:gridCol w:w="1128"/>
        <w:gridCol w:w="1558"/>
        <w:gridCol w:w="2946"/>
      </w:tblGrid>
      <w:tr w:rsidR="00FB0266" w:rsidTr="001D131F">
        <w:trPr>
          <w:trHeight w:val="262"/>
        </w:trPr>
        <w:tc>
          <w:tcPr>
            <w:tcW w:w="3944"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rPr>
                <w:b/>
                <w:bCs/>
                <w:sz w:val="20"/>
                <w:szCs w:val="20"/>
              </w:rPr>
            </w:pPr>
            <w:r w:rsidRPr="00B27576">
              <w:rPr>
                <w:rFonts w:ascii="Times New Roman" w:hAnsi="Times New Roman"/>
                <w:b/>
                <w:bCs/>
                <w:sz w:val="20"/>
                <w:szCs w:val="20"/>
              </w:rPr>
              <w:t xml:space="preserve">Type of test, species (Guideline) </w:t>
            </w:r>
          </w:p>
        </w:tc>
        <w:tc>
          <w:tcPr>
            <w:tcW w:w="1128"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rPr>
                <w:b/>
                <w:bCs/>
                <w:sz w:val="20"/>
                <w:szCs w:val="20"/>
              </w:rPr>
            </w:pPr>
            <w:r w:rsidRPr="00B27576">
              <w:rPr>
                <w:rFonts w:ascii="Times New Roman" w:hAnsi="Times New Roman"/>
                <w:b/>
                <w:bCs/>
                <w:sz w:val="20"/>
                <w:szCs w:val="20"/>
              </w:rPr>
              <w:t xml:space="preserve">Result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B27576" w:rsidRDefault="00FB0266" w:rsidP="00FB0266">
            <w:pPr>
              <w:rPr>
                <w:b/>
                <w:bCs/>
                <w:sz w:val="20"/>
                <w:szCs w:val="20"/>
              </w:rPr>
            </w:pPr>
            <w:r w:rsidRPr="00FB0266">
              <w:rPr>
                <w:rFonts w:ascii="Times New Roman" w:hAnsi="Times New Roman"/>
                <w:b/>
                <w:bCs/>
                <w:sz w:val="20"/>
                <w:szCs w:val="20"/>
              </w:rPr>
              <w:t xml:space="preserve">Acceptability  </w:t>
            </w:r>
          </w:p>
        </w:tc>
        <w:tc>
          <w:tcPr>
            <w:tcW w:w="2946"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ind w:left="2"/>
              <w:rPr>
                <w:b/>
                <w:bCs/>
                <w:sz w:val="20"/>
                <w:szCs w:val="20"/>
              </w:rPr>
            </w:pPr>
            <w:r w:rsidRPr="00B27576">
              <w:rPr>
                <w:rFonts w:ascii="Times New Roman" w:hAnsi="Times New Roman"/>
                <w:b/>
                <w:bCs/>
                <w:sz w:val="20"/>
                <w:szCs w:val="20"/>
              </w:rPr>
              <w:t xml:space="preserve">Reference* </w:t>
            </w:r>
          </w:p>
        </w:tc>
      </w:tr>
      <w:tr w:rsidR="00FB0266" w:rsidTr="001D131F">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rPr>
                <w:sz w:val="20"/>
                <w:szCs w:val="20"/>
              </w:rPr>
            </w:pPr>
            <w:r w:rsidRPr="00B27576">
              <w:rPr>
                <w:rFonts w:ascii="Times New Roman" w:hAnsi="Times New Roman"/>
                <w:i/>
                <w:iCs/>
                <w:sz w:val="20"/>
                <w:szCs w:val="20"/>
              </w:rPr>
              <w:t>Salmonella typhimurium</w:t>
            </w:r>
            <w:r w:rsidRPr="00B27576">
              <w:rPr>
                <w:rFonts w:ascii="Times New Roman" w:hAnsi="Times New Roman"/>
                <w:sz w:val="20"/>
                <w:szCs w:val="20"/>
              </w:rPr>
              <w:t xml:space="preserve"> reverse mutation assay with (OECD 471)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B27576" w:rsidRDefault="00FB0266" w:rsidP="00FB0266">
            <w:pPr>
              <w:rPr>
                <w:sz w:val="20"/>
                <w:szCs w:val="20"/>
              </w:rPr>
            </w:pPr>
            <w:r w:rsidRPr="00B27576">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B27576" w:rsidRDefault="00FB0266" w:rsidP="002121BC">
            <w:pPr>
              <w:rPr>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tcPr>
          <w:p w:rsidR="00FB0266" w:rsidRPr="008C3F5C" w:rsidRDefault="00FB0266" w:rsidP="00FB0266">
            <w:pPr>
              <w:ind w:left="2" w:right="340"/>
              <w:jc w:val="both"/>
              <w:rPr>
                <w:sz w:val="20"/>
                <w:szCs w:val="20"/>
              </w:rPr>
            </w:pPr>
            <w:r w:rsidRPr="00FF3C47">
              <w:rPr>
                <w:rFonts w:ascii="Times New Roman" w:hAnsi="Times New Roman"/>
                <w:sz w:val="20"/>
                <w:szCs w:val="20"/>
                <w:highlight w:val="black"/>
              </w:rPr>
              <w:t>Sokolowski A., 2013</w:t>
            </w:r>
            <w:r w:rsidRPr="008C3F5C">
              <w:rPr>
                <w:rFonts w:ascii="Times New Roman" w:hAnsi="Times New Roman"/>
                <w:sz w:val="20"/>
                <w:szCs w:val="20"/>
              </w:rPr>
              <w:t xml:space="preserve"> KCA 5.8.1 /07 </w:t>
            </w:r>
          </w:p>
        </w:tc>
      </w:tr>
      <w:tr w:rsidR="00FB0266" w:rsidTr="001D131F">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rPr>
                <w:sz w:val="20"/>
                <w:szCs w:val="20"/>
              </w:rPr>
            </w:pPr>
            <w:r w:rsidRPr="00B27576">
              <w:rPr>
                <w:rFonts w:ascii="Times New Roman" w:hAnsi="Times New Roman"/>
                <w:sz w:val="20"/>
                <w:szCs w:val="20"/>
              </w:rPr>
              <w:t xml:space="preserve">In vitro chromosome aberration test in Chinese hamster V79 cells (OECD 473)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B27576" w:rsidRDefault="00FB0266" w:rsidP="00FB0266">
            <w:pPr>
              <w:rPr>
                <w:sz w:val="20"/>
                <w:szCs w:val="20"/>
              </w:rPr>
            </w:pPr>
            <w:r w:rsidRPr="00B27576">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B27576" w:rsidRDefault="00FB0266" w:rsidP="002121BC">
            <w:pPr>
              <w:rPr>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vAlign w:val="center"/>
          </w:tcPr>
          <w:p w:rsidR="00FB0266" w:rsidRPr="008C3F5C" w:rsidRDefault="009E790F" w:rsidP="00FB0266">
            <w:pPr>
              <w:ind w:left="2"/>
              <w:rPr>
                <w:sz w:val="20"/>
                <w:szCs w:val="20"/>
              </w:rPr>
            </w:pPr>
            <w:r>
              <w:rPr>
                <w:rFonts w:ascii="Times New Roman" w:hAnsi="Times New Roman"/>
                <w:sz w:val="20"/>
                <w:szCs w:val="20"/>
              </w:rPr>
              <w:t>Anon</w:t>
            </w:r>
          </w:p>
        </w:tc>
      </w:tr>
      <w:tr w:rsidR="00FB0266" w:rsidTr="001D131F">
        <w:trPr>
          <w:trHeight w:val="516"/>
        </w:trPr>
        <w:tc>
          <w:tcPr>
            <w:tcW w:w="3944" w:type="dxa"/>
            <w:tcBorders>
              <w:top w:val="single" w:sz="4" w:space="0" w:color="000000"/>
              <w:left w:val="single" w:sz="4" w:space="0" w:color="000000"/>
              <w:bottom w:val="single" w:sz="4" w:space="0" w:color="000000"/>
              <w:right w:val="single" w:sz="4" w:space="0" w:color="000000"/>
            </w:tcBorders>
          </w:tcPr>
          <w:p w:rsidR="00FB0266" w:rsidRPr="00B27576" w:rsidRDefault="00FB0266" w:rsidP="00FB0266">
            <w:pPr>
              <w:rPr>
                <w:sz w:val="20"/>
                <w:szCs w:val="20"/>
              </w:rPr>
            </w:pPr>
            <w:r w:rsidRPr="00B27576">
              <w:rPr>
                <w:rFonts w:ascii="Times New Roman" w:hAnsi="Times New Roman"/>
                <w:sz w:val="20"/>
                <w:szCs w:val="20"/>
              </w:rPr>
              <w:t xml:space="preserve">Gene mutation assay in Chinese hamster V79 cells in vitro (V79/HPRT) </w:t>
            </w:r>
          </w:p>
        </w:tc>
        <w:tc>
          <w:tcPr>
            <w:tcW w:w="1128" w:type="dxa"/>
            <w:tcBorders>
              <w:top w:val="single" w:sz="4" w:space="0" w:color="000000"/>
              <w:left w:val="single" w:sz="4" w:space="0" w:color="000000"/>
              <w:bottom w:val="single" w:sz="4" w:space="0" w:color="000000"/>
              <w:right w:val="single" w:sz="4" w:space="0" w:color="000000"/>
            </w:tcBorders>
            <w:vAlign w:val="center"/>
          </w:tcPr>
          <w:p w:rsidR="00FB0266" w:rsidRPr="00B27576" w:rsidRDefault="00FB0266" w:rsidP="00FB0266">
            <w:pPr>
              <w:rPr>
                <w:sz w:val="20"/>
                <w:szCs w:val="20"/>
              </w:rPr>
            </w:pPr>
            <w:r w:rsidRPr="00B27576">
              <w:rPr>
                <w:rFonts w:ascii="Times New Roman" w:hAnsi="Times New Roman"/>
                <w:sz w:val="20"/>
                <w:szCs w:val="20"/>
              </w:rPr>
              <w:t xml:space="preserve">Negative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B0266" w:rsidRPr="00B27576" w:rsidRDefault="00FB0266" w:rsidP="002121BC">
            <w:pPr>
              <w:rPr>
                <w:sz w:val="20"/>
                <w:szCs w:val="20"/>
              </w:rPr>
            </w:pPr>
            <w:r w:rsidRPr="00FB0266">
              <w:rPr>
                <w:rFonts w:ascii="Times New Roman" w:hAnsi="Times New Roman"/>
                <w:sz w:val="20"/>
                <w:szCs w:val="20"/>
              </w:rPr>
              <w:t xml:space="preserve">Yes </w:t>
            </w:r>
          </w:p>
        </w:tc>
        <w:tc>
          <w:tcPr>
            <w:tcW w:w="2946" w:type="dxa"/>
            <w:tcBorders>
              <w:top w:val="single" w:sz="4" w:space="0" w:color="000000"/>
              <w:left w:val="single" w:sz="4" w:space="0" w:color="000000"/>
              <w:bottom w:val="single" w:sz="4" w:space="0" w:color="000000"/>
              <w:right w:val="single" w:sz="4" w:space="0" w:color="000000"/>
            </w:tcBorders>
          </w:tcPr>
          <w:p w:rsidR="00FB0266" w:rsidRPr="008C3F5C" w:rsidRDefault="006E39CA" w:rsidP="00FB0266">
            <w:pPr>
              <w:ind w:left="2" w:right="439"/>
              <w:rPr>
                <w:sz w:val="20"/>
                <w:szCs w:val="20"/>
              </w:rPr>
            </w:pPr>
            <w:r w:rsidRPr="00FF3C47">
              <w:rPr>
                <w:rFonts w:ascii="Times New Roman" w:hAnsi="Times New Roman"/>
                <w:sz w:val="20"/>
                <w:szCs w:val="20"/>
                <w:highlight w:val="black"/>
              </w:rPr>
              <w:t>Anon,</w:t>
            </w:r>
            <w:r w:rsidR="00FB0266" w:rsidRPr="00FF3C47">
              <w:rPr>
                <w:rFonts w:ascii="Times New Roman" w:hAnsi="Times New Roman"/>
                <w:sz w:val="20"/>
                <w:szCs w:val="20"/>
                <w:highlight w:val="black"/>
              </w:rPr>
              <w:t xml:space="preserve"> 2015b</w:t>
            </w:r>
            <w:r w:rsidR="00FB0266" w:rsidRPr="008C3F5C">
              <w:rPr>
                <w:rFonts w:ascii="Times New Roman" w:hAnsi="Times New Roman"/>
                <w:sz w:val="20"/>
                <w:szCs w:val="20"/>
              </w:rPr>
              <w:t xml:space="preserve"> KCA 5.8.1 /09 </w:t>
            </w:r>
          </w:p>
        </w:tc>
      </w:tr>
    </w:tbl>
    <w:p w:rsidR="001C0D8F" w:rsidRDefault="001C0D8F" w:rsidP="001C0D8F">
      <w:pPr>
        <w:tabs>
          <w:tab w:val="center" w:pos="2124"/>
        </w:tabs>
        <w:spacing w:after="33" w:line="248" w:lineRule="auto"/>
        <w:ind w:left="-8"/>
      </w:pPr>
      <w:r>
        <w:rPr>
          <w:sz w:val="18"/>
        </w:rPr>
        <w:t xml:space="preserve">* </w:t>
      </w:r>
      <w:r>
        <w:rPr>
          <w:sz w:val="18"/>
        </w:rPr>
        <w:tab/>
        <w:t xml:space="preserve">indicates that a study was reviewed at EU level </w:t>
      </w:r>
    </w:p>
    <w:p w:rsidR="00BE29E2" w:rsidRPr="00BE29E2" w:rsidRDefault="00C81348" w:rsidP="00BE29E2">
      <w:pPr>
        <w:pStyle w:val="Nagwek2"/>
      </w:pPr>
      <w:bookmarkStart w:id="198" w:name="_Toc179811293"/>
      <w:r w:rsidRPr="00A10E5F">
        <w:t xml:space="preserve">Dermal </w:t>
      </w:r>
      <w:r w:rsidR="00FC75E0" w:rsidRPr="00A10E5F">
        <w:t>A</w:t>
      </w:r>
      <w:r w:rsidRPr="00A10E5F">
        <w:t>bsorption</w:t>
      </w:r>
      <w:bookmarkEnd w:id="147"/>
      <w:bookmarkEnd w:id="148"/>
      <w:bookmarkEnd w:id="149"/>
      <w:bookmarkEnd w:id="150"/>
      <w:bookmarkEnd w:id="151"/>
      <w:bookmarkEnd w:id="152"/>
      <w:bookmarkEnd w:id="153"/>
      <w:bookmarkEnd w:id="154"/>
      <w:r w:rsidRPr="00A10E5F">
        <w:t xml:space="preserve"> (KCP 7.3)</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98"/>
    </w:p>
    <w:p w:rsidR="00F154D1" w:rsidRDefault="00F154D1" w:rsidP="008E0ED5">
      <w:pPr>
        <w:pStyle w:val="RepStandard"/>
      </w:pPr>
      <w:r>
        <w:t xml:space="preserve">A summary of the dermal absorption rates for the active substances in product 054-01-05 are presented in </w:t>
      </w:r>
      <w:r w:rsidR="00117876" w:rsidRPr="00117876">
        <w:t>Table 6.5-1</w:t>
      </w:r>
      <w:r>
        <w:t>.</w:t>
      </w:r>
    </w:p>
    <w:p w:rsidR="00B27576" w:rsidRPr="00D25689" w:rsidRDefault="00F154D1" w:rsidP="00B27576">
      <w:pPr>
        <w:pStyle w:val="Legenda"/>
        <w:keepNext/>
        <w:spacing w:before="240"/>
        <w:ind w:left="1416" w:hanging="1416"/>
        <w:rPr>
          <w:sz w:val="22"/>
          <w:szCs w:val="22"/>
          <w:lang w:val="en-GB"/>
        </w:rPr>
      </w:pPr>
      <w:r w:rsidRPr="00D25689">
        <w:rPr>
          <w:sz w:val="22"/>
          <w:szCs w:val="22"/>
          <w:lang w:val="en-GB"/>
        </w:rPr>
        <w:lastRenderedPageBreak/>
        <w:t>Table 6.5-1:</w:t>
      </w:r>
      <w:r w:rsidRPr="00D25689">
        <w:rPr>
          <w:sz w:val="22"/>
          <w:szCs w:val="22"/>
          <w:lang w:val="en-GB"/>
        </w:rPr>
        <w:tab/>
        <w:t>Dermal absorption rates for active substances in product 054-01-05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86"/>
        <w:gridCol w:w="1391"/>
        <w:gridCol w:w="1392"/>
        <w:gridCol w:w="1390"/>
        <w:gridCol w:w="1392"/>
        <w:gridCol w:w="1413"/>
        <w:gridCol w:w="1408"/>
      </w:tblGrid>
      <w:tr w:rsidR="00B27576" w:rsidRPr="00B32849" w:rsidTr="001D131F">
        <w:trPr>
          <w:tblHeader/>
        </w:trPr>
        <w:tc>
          <w:tcPr>
            <w:tcW w:w="573" w:type="pct"/>
          </w:tcPr>
          <w:p w:rsidR="00B27576" w:rsidRPr="00B32849" w:rsidRDefault="00B27576" w:rsidP="001D131F">
            <w:pPr>
              <w:pStyle w:val="RepTableHeader"/>
              <w:jc w:val="center"/>
              <w:rPr>
                <w:lang w:val="en-GB"/>
              </w:rPr>
            </w:pPr>
          </w:p>
        </w:tc>
        <w:tc>
          <w:tcPr>
            <w:tcW w:w="1469" w:type="pct"/>
            <w:gridSpan w:val="2"/>
            <w:shd w:val="clear" w:color="auto" w:fill="auto"/>
          </w:tcPr>
          <w:p w:rsidR="00B27576" w:rsidRPr="00B32849" w:rsidRDefault="00B27576" w:rsidP="001D131F">
            <w:pPr>
              <w:pStyle w:val="RepTableHeader"/>
              <w:jc w:val="center"/>
              <w:rPr>
                <w:lang w:val="en-GB"/>
              </w:rPr>
            </w:pPr>
            <w:proofErr w:type="spellStart"/>
            <w:r>
              <w:rPr>
                <w:lang w:val="en-GB"/>
              </w:rPr>
              <w:t>Mesosulfuron</w:t>
            </w:r>
            <w:proofErr w:type="spellEnd"/>
            <w:r>
              <w:rPr>
                <w:lang w:val="en-GB"/>
              </w:rPr>
              <w:t>-methyl</w:t>
            </w:r>
          </w:p>
        </w:tc>
        <w:tc>
          <w:tcPr>
            <w:tcW w:w="1469" w:type="pct"/>
            <w:gridSpan w:val="2"/>
            <w:shd w:val="clear" w:color="auto" w:fill="auto"/>
          </w:tcPr>
          <w:p w:rsidR="00B27576" w:rsidRPr="00B32849" w:rsidRDefault="00B27576" w:rsidP="001D131F">
            <w:pPr>
              <w:pStyle w:val="RepTableHeader"/>
              <w:jc w:val="center"/>
              <w:rPr>
                <w:lang w:val="en-GB"/>
              </w:rPr>
            </w:pPr>
            <w:proofErr w:type="spellStart"/>
            <w:r>
              <w:rPr>
                <w:lang w:val="en-GB"/>
              </w:rPr>
              <w:t>Iodosulfuron</w:t>
            </w:r>
            <w:proofErr w:type="spellEnd"/>
            <w:r>
              <w:rPr>
                <w:lang w:val="en-GB"/>
              </w:rPr>
              <w:t>-methyl-sodium</w:t>
            </w:r>
          </w:p>
        </w:tc>
        <w:tc>
          <w:tcPr>
            <w:tcW w:w="1489" w:type="pct"/>
            <w:gridSpan w:val="2"/>
            <w:vAlign w:val="center"/>
          </w:tcPr>
          <w:p w:rsidR="00B27576" w:rsidRPr="00B32849" w:rsidRDefault="00B27576" w:rsidP="001D131F">
            <w:pPr>
              <w:pStyle w:val="RepTableHeader"/>
              <w:jc w:val="center"/>
              <w:rPr>
                <w:highlight w:val="yellow"/>
                <w:lang w:val="en-GB"/>
              </w:rPr>
            </w:pPr>
            <w:bookmarkStart w:id="199" w:name="_Hlk79417245"/>
            <w:proofErr w:type="spellStart"/>
            <w:r w:rsidRPr="00B94B67">
              <w:t>Mefenpyr</w:t>
            </w:r>
            <w:proofErr w:type="spellEnd"/>
            <w:r w:rsidRPr="00B94B67">
              <w:t>-diethyl</w:t>
            </w:r>
            <w:bookmarkEnd w:id="199"/>
          </w:p>
        </w:tc>
      </w:tr>
      <w:tr w:rsidR="00B27576" w:rsidRPr="00B32849" w:rsidTr="001D131F">
        <w:trPr>
          <w:tblHeader/>
        </w:trPr>
        <w:tc>
          <w:tcPr>
            <w:tcW w:w="573" w:type="pct"/>
          </w:tcPr>
          <w:p w:rsidR="00B27576" w:rsidRPr="00B32849" w:rsidRDefault="00B27576" w:rsidP="001D131F">
            <w:pPr>
              <w:pStyle w:val="RepTableHeader"/>
              <w:jc w:val="center"/>
              <w:rPr>
                <w:lang w:val="en-GB"/>
              </w:rPr>
            </w:pPr>
          </w:p>
        </w:tc>
        <w:tc>
          <w:tcPr>
            <w:tcW w:w="734" w:type="pct"/>
          </w:tcPr>
          <w:p w:rsidR="00B27576" w:rsidRPr="00B32849" w:rsidRDefault="00B27576" w:rsidP="001D131F">
            <w:pPr>
              <w:pStyle w:val="RepTableHeader"/>
              <w:jc w:val="center"/>
              <w:rPr>
                <w:lang w:val="en-GB"/>
              </w:rPr>
            </w:pPr>
            <w:r w:rsidRPr="00B32849">
              <w:rPr>
                <w:lang w:val="en-GB"/>
              </w:rPr>
              <w:t>Value</w:t>
            </w:r>
          </w:p>
        </w:tc>
        <w:tc>
          <w:tcPr>
            <w:tcW w:w="735" w:type="pct"/>
          </w:tcPr>
          <w:p w:rsidR="00B27576" w:rsidRPr="00B32849" w:rsidRDefault="00B27576" w:rsidP="001D131F">
            <w:pPr>
              <w:pStyle w:val="RepTableHeader"/>
              <w:jc w:val="center"/>
              <w:rPr>
                <w:lang w:val="en-GB"/>
              </w:rPr>
            </w:pPr>
            <w:r w:rsidRPr="00B32849">
              <w:rPr>
                <w:lang w:val="en-GB"/>
              </w:rPr>
              <w:t>Reference</w:t>
            </w:r>
          </w:p>
        </w:tc>
        <w:tc>
          <w:tcPr>
            <w:tcW w:w="734" w:type="pct"/>
          </w:tcPr>
          <w:p w:rsidR="00B27576" w:rsidRPr="00B32849" w:rsidRDefault="00B27576" w:rsidP="001D131F">
            <w:pPr>
              <w:pStyle w:val="RepTableHeader"/>
              <w:jc w:val="center"/>
              <w:rPr>
                <w:lang w:val="en-GB"/>
              </w:rPr>
            </w:pPr>
            <w:r w:rsidRPr="00B32849">
              <w:rPr>
                <w:lang w:val="en-GB"/>
              </w:rPr>
              <w:t>Value</w:t>
            </w:r>
          </w:p>
        </w:tc>
        <w:tc>
          <w:tcPr>
            <w:tcW w:w="735" w:type="pct"/>
          </w:tcPr>
          <w:p w:rsidR="00B27576" w:rsidRPr="00B32849" w:rsidRDefault="00B27576" w:rsidP="001D131F">
            <w:pPr>
              <w:pStyle w:val="RepTableHeader"/>
              <w:jc w:val="center"/>
              <w:rPr>
                <w:lang w:val="en-GB"/>
              </w:rPr>
            </w:pPr>
            <w:r w:rsidRPr="00B32849">
              <w:rPr>
                <w:lang w:val="en-GB"/>
              </w:rPr>
              <w:t>Reference</w:t>
            </w:r>
          </w:p>
        </w:tc>
        <w:tc>
          <w:tcPr>
            <w:tcW w:w="746" w:type="pct"/>
          </w:tcPr>
          <w:p w:rsidR="00B27576" w:rsidRPr="00B32849" w:rsidRDefault="00B27576" w:rsidP="001D131F">
            <w:pPr>
              <w:pStyle w:val="RepTableHeader"/>
              <w:jc w:val="center"/>
              <w:rPr>
                <w:lang w:val="en-GB"/>
              </w:rPr>
            </w:pPr>
            <w:r w:rsidRPr="00B32849">
              <w:rPr>
                <w:lang w:val="en-GB"/>
              </w:rPr>
              <w:t>Value</w:t>
            </w:r>
          </w:p>
        </w:tc>
        <w:tc>
          <w:tcPr>
            <w:tcW w:w="743" w:type="pct"/>
          </w:tcPr>
          <w:p w:rsidR="00B27576" w:rsidRPr="00B32849" w:rsidRDefault="00B27576" w:rsidP="001D131F">
            <w:pPr>
              <w:pStyle w:val="RepTableHeader"/>
              <w:jc w:val="center"/>
              <w:rPr>
                <w:lang w:val="en-GB"/>
              </w:rPr>
            </w:pPr>
            <w:r w:rsidRPr="00B32849">
              <w:rPr>
                <w:lang w:val="en-GB"/>
              </w:rPr>
              <w:t>Reference</w:t>
            </w:r>
          </w:p>
        </w:tc>
      </w:tr>
      <w:tr w:rsidR="00B27576" w:rsidRPr="00B32849" w:rsidTr="001D131F">
        <w:tc>
          <w:tcPr>
            <w:tcW w:w="573" w:type="pct"/>
          </w:tcPr>
          <w:p w:rsidR="00B27576" w:rsidRPr="00B32849" w:rsidRDefault="00B27576" w:rsidP="001D131F">
            <w:pPr>
              <w:pStyle w:val="RepTable"/>
            </w:pPr>
            <w:r w:rsidRPr="00B32849">
              <w:t>Concentrate</w:t>
            </w:r>
          </w:p>
        </w:tc>
        <w:tc>
          <w:tcPr>
            <w:tcW w:w="734" w:type="pct"/>
            <w:vAlign w:val="center"/>
          </w:tcPr>
          <w:p w:rsidR="00B27576" w:rsidRPr="00B32849" w:rsidRDefault="00B27576" w:rsidP="001D131F">
            <w:pPr>
              <w:pStyle w:val="RepTable"/>
              <w:jc w:val="center"/>
            </w:pPr>
            <w:r>
              <w:t>70</w:t>
            </w:r>
            <w:r w:rsidRPr="00B32849">
              <w:t>%</w:t>
            </w:r>
          </w:p>
        </w:tc>
        <w:tc>
          <w:tcPr>
            <w:tcW w:w="735" w:type="pct"/>
            <w:vAlign w:val="center"/>
          </w:tcPr>
          <w:p w:rsidR="00B27576" w:rsidRPr="00B32849" w:rsidRDefault="00B27576" w:rsidP="001D131F">
            <w:pPr>
              <w:pStyle w:val="RepTable"/>
              <w:jc w:val="center"/>
              <w:rPr>
                <w:highlight w:val="yellow"/>
              </w:rPr>
            </w:pPr>
            <w:r w:rsidRPr="001514E5">
              <w:rPr>
                <w:lang w:val="en-US"/>
              </w:rPr>
              <w:t>EFSA default value</w:t>
            </w:r>
          </w:p>
        </w:tc>
        <w:tc>
          <w:tcPr>
            <w:tcW w:w="734" w:type="pct"/>
            <w:vAlign w:val="center"/>
          </w:tcPr>
          <w:p w:rsidR="00B27576" w:rsidRPr="00B32849" w:rsidRDefault="00B27576" w:rsidP="001D131F">
            <w:pPr>
              <w:pStyle w:val="RepTable"/>
              <w:jc w:val="center"/>
            </w:pPr>
            <w:r>
              <w:t>70</w:t>
            </w:r>
            <w:r w:rsidRPr="00B32849">
              <w:t>%</w:t>
            </w:r>
          </w:p>
        </w:tc>
        <w:tc>
          <w:tcPr>
            <w:tcW w:w="735" w:type="pct"/>
            <w:vAlign w:val="center"/>
          </w:tcPr>
          <w:p w:rsidR="00B27576" w:rsidRPr="00B32849" w:rsidRDefault="00B27576" w:rsidP="001D131F">
            <w:pPr>
              <w:pStyle w:val="RepTable"/>
              <w:jc w:val="center"/>
              <w:rPr>
                <w:highlight w:val="yellow"/>
              </w:rPr>
            </w:pPr>
            <w:r w:rsidRPr="001514E5">
              <w:rPr>
                <w:lang w:val="en-US"/>
              </w:rPr>
              <w:t>EFSA default value</w:t>
            </w:r>
          </w:p>
        </w:tc>
        <w:tc>
          <w:tcPr>
            <w:tcW w:w="746" w:type="pct"/>
            <w:vAlign w:val="center"/>
          </w:tcPr>
          <w:p w:rsidR="00B27576" w:rsidRPr="00B94B67" w:rsidRDefault="00B27576" w:rsidP="001D131F">
            <w:pPr>
              <w:pStyle w:val="RepTable"/>
              <w:jc w:val="center"/>
            </w:pPr>
            <w:r>
              <w:t>70</w:t>
            </w:r>
            <w:r w:rsidRPr="00B32849">
              <w:t>%</w:t>
            </w:r>
          </w:p>
        </w:tc>
        <w:tc>
          <w:tcPr>
            <w:tcW w:w="743" w:type="pct"/>
            <w:vAlign w:val="center"/>
          </w:tcPr>
          <w:p w:rsidR="00B27576" w:rsidRPr="00B94B67" w:rsidRDefault="00B27576" w:rsidP="001D131F">
            <w:pPr>
              <w:pStyle w:val="RepTable"/>
              <w:jc w:val="center"/>
            </w:pPr>
            <w:r w:rsidRPr="001514E5">
              <w:rPr>
                <w:lang w:val="en-US"/>
              </w:rPr>
              <w:t>EFSA default value</w:t>
            </w:r>
          </w:p>
        </w:tc>
      </w:tr>
      <w:tr w:rsidR="00B27576" w:rsidRPr="00B32849" w:rsidTr="001D131F">
        <w:tc>
          <w:tcPr>
            <w:tcW w:w="573" w:type="pct"/>
          </w:tcPr>
          <w:p w:rsidR="00B27576" w:rsidRPr="00B32849" w:rsidRDefault="00B27576" w:rsidP="001D131F">
            <w:pPr>
              <w:pStyle w:val="RepTable"/>
            </w:pPr>
            <w:r w:rsidRPr="00B32849">
              <w:t>Dilution</w:t>
            </w:r>
          </w:p>
        </w:tc>
        <w:tc>
          <w:tcPr>
            <w:tcW w:w="734" w:type="pct"/>
            <w:vAlign w:val="center"/>
          </w:tcPr>
          <w:p w:rsidR="00B27576" w:rsidRPr="00B32849" w:rsidRDefault="00B27576" w:rsidP="001D131F">
            <w:pPr>
              <w:pStyle w:val="RepTable"/>
              <w:jc w:val="center"/>
            </w:pPr>
            <w:r>
              <w:t>70</w:t>
            </w:r>
            <w:r w:rsidRPr="00B32849">
              <w:t>%</w:t>
            </w:r>
          </w:p>
        </w:tc>
        <w:tc>
          <w:tcPr>
            <w:tcW w:w="735" w:type="pct"/>
            <w:vAlign w:val="center"/>
          </w:tcPr>
          <w:p w:rsidR="00B27576" w:rsidRPr="00B32849" w:rsidRDefault="00B27576" w:rsidP="001D131F">
            <w:pPr>
              <w:pStyle w:val="RepTable"/>
              <w:jc w:val="center"/>
              <w:rPr>
                <w:highlight w:val="yellow"/>
              </w:rPr>
            </w:pPr>
            <w:r w:rsidRPr="001514E5">
              <w:rPr>
                <w:lang w:val="en-US"/>
              </w:rPr>
              <w:t>EFSA default value</w:t>
            </w:r>
          </w:p>
        </w:tc>
        <w:tc>
          <w:tcPr>
            <w:tcW w:w="734" w:type="pct"/>
            <w:vAlign w:val="center"/>
          </w:tcPr>
          <w:p w:rsidR="00B27576" w:rsidRPr="00B32849" w:rsidRDefault="00B27576" w:rsidP="001D131F">
            <w:pPr>
              <w:pStyle w:val="RepTable"/>
              <w:jc w:val="center"/>
            </w:pPr>
            <w:r>
              <w:t>70</w:t>
            </w:r>
            <w:r w:rsidRPr="00B32849">
              <w:t>%</w:t>
            </w:r>
          </w:p>
        </w:tc>
        <w:tc>
          <w:tcPr>
            <w:tcW w:w="735" w:type="pct"/>
            <w:vAlign w:val="center"/>
          </w:tcPr>
          <w:p w:rsidR="00B27576" w:rsidRPr="00B32849" w:rsidRDefault="00B27576" w:rsidP="001D131F">
            <w:pPr>
              <w:pStyle w:val="RepTable"/>
              <w:jc w:val="center"/>
              <w:rPr>
                <w:highlight w:val="yellow"/>
              </w:rPr>
            </w:pPr>
            <w:r w:rsidRPr="001514E5">
              <w:rPr>
                <w:lang w:val="en-US"/>
              </w:rPr>
              <w:t>EFSA default value</w:t>
            </w:r>
          </w:p>
        </w:tc>
        <w:tc>
          <w:tcPr>
            <w:tcW w:w="746" w:type="pct"/>
            <w:vAlign w:val="center"/>
          </w:tcPr>
          <w:p w:rsidR="00B27576" w:rsidRPr="00B94B67" w:rsidRDefault="00B27576" w:rsidP="001D131F">
            <w:pPr>
              <w:pStyle w:val="RepTable"/>
              <w:jc w:val="center"/>
            </w:pPr>
            <w:r>
              <w:t>70</w:t>
            </w:r>
            <w:r w:rsidRPr="00B32849">
              <w:t>%</w:t>
            </w:r>
          </w:p>
        </w:tc>
        <w:tc>
          <w:tcPr>
            <w:tcW w:w="743" w:type="pct"/>
            <w:vAlign w:val="center"/>
          </w:tcPr>
          <w:p w:rsidR="00B27576" w:rsidRPr="00B94B67" w:rsidRDefault="00B27576" w:rsidP="001D131F">
            <w:pPr>
              <w:pStyle w:val="RepTable"/>
              <w:jc w:val="center"/>
            </w:pPr>
            <w:r w:rsidRPr="001514E5">
              <w:rPr>
                <w:lang w:val="en-US"/>
              </w:rPr>
              <w:t>EFSA default value</w:t>
            </w:r>
          </w:p>
        </w:tc>
      </w:tr>
    </w:tbl>
    <w:p w:rsidR="000318A3" w:rsidRPr="000318A3" w:rsidRDefault="00BE29E2" w:rsidP="000318A3">
      <w:pPr>
        <w:pStyle w:val="Nagwek3"/>
      </w:pPr>
      <w:bookmarkStart w:id="200" w:name="_Toc179811294"/>
      <w:r w:rsidRPr="00BE29E2">
        <w:t xml:space="preserve">Justification for proposed values </w:t>
      </w:r>
      <w:r w:rsidR="000318A3">
        <w:t>–</w:t>
      </w:r>
      <w:r w:rsidRPr="00BE29E2">
        <w:t xml:space="preserve"> </w:t>
      </w:r>
      <w:proofErr w:type="spellStart"/>
      <w:r w:rsidRPr="00BE29E2">
        <w:t>Iodosulfuron</w:t>
      </w:r>
      <w:proofErr w:type="spellEnd"/>
      <w:r w:rsidR="000318A3">
        <w:t>-</w:t>
      </w:r>
      <w:r w:rsidRPr="00BE29E2">
        <w:t>methyl</w:t>
      </w:r>
      <w:r w:rsidR="000318A3">
        <w:t>-</w:t>
      </w:r>
      <w:r w:rsidRPr="00BE29E2">
        <w:t>sodium</w:t>
      </w:r>
      <w:bookmarkEnd w:id="200"/>
    </w:p>
    <w:p w:rsidR="003D6426" w:rsidRDefault="003D6426" w:rsidP="003D6426">
      <w:pPr>
        <w:pStyle w:val="RepStandard"/>
      </w:pPr>
      <w:r w:rsidRPr="003D6426">
        <w:t xml:space="preserve">No data on dermal absorption for </w:t>
      </w:r>
      <w:proofErr w:type="spellStart"/>
      <w:r w:rsidR="000318A3" w:rsidRPr="000318A3">
        <w:t>Iodosulfuron</w:t>
      </w:r>
      <w:proofErr w:type="spellEnd"/>
      <w:r w:rsidR="000318A3">
        <w:t>-</w:t>
      </w:r>
      <w:r w:rsidR="000318A3" w:rsidRPr="000318A3">
        <w:t>methyl</w:t>
      </w:r>
      <w:r w:rsidR="000318A3">
        <w:t>-</w:t>
      </w:r>
      <w:r w:rsidR="000318A3" w:rsidRPr="000318A3">
        <w:t xml:space="preserve">sodium </w:t>
      </w:r>
      <w:r w:rsidR="000318A3">
        <w:t xml:space="preserve">in </w:t>
      </w:r>
      <w:r>
        <w:t>product 054-01-05</w:t>
      </w:r>
      <w:r w:rsidRPr="003D6426">
        <w:t xml:space="preserve"> is available. Justifications for default values according to Guidance on Dermal Absorption </w:t>
      </w:r>
      <w:r w:rsidR="00B07137">
        <w:t>(</w:t>
      </w:r>
      <w:r w:rsidRPr="003D6426">
        <w:t>EFSA Journal 2017;15(6):4873) are presented in the following table.</w:t>
      </w:r>
    </w:p>
    <w:p w:rsidR="003D6426" w:rsidRDefault="003D6426" w:rsidP="003D6426">
      <w:pPr>
        <w:pStyle w:val="RepStandard"/>
      </w:pPr>
    </w:p>
    <w:p w:rsidR="003D6426" w:rsidRPr="00D25689" w:rsidRDefault="003D6426" w:rsidP="003D6426">
      <w:pPr>
        <w:pStyle w:val="Legenda"/>
        <w:keepNext/>
        <w:ind w:left="1416" w:hanging="1416"/>
        <w:rPr>
          <w:sz w:val="22"/>
          <w:szCs w:val="22"/>
          <w:lang w:val="en-GB"/>
        </w:rPr>
      </w:pPr>
      <w:r w:rsidRPr="00D25689">
        <w:rPr>
          <w:sz w:val="22"/>
          <w:szCs w:val="22"/>
          <w:lang w:val="en-GB"/>
        </w:rPr>
        <w:t>Table 6.5-2:</w:t>
      </w:r>
      <w:r w:rsidRPr="00D25689">
        <w:rPr>
          <w:sz w:val="22"/>
          <w:szCs w:val="22"/>
          <w:lang w:val="en-GB"/>
        </w:rPr>
        <w:tab/>
        <w:t xml:space="preserve">Default dermal absorption rates for </w:t>
      </w:r>
      <w:proofErr w:type="spellStart"/>
      <w:r w:rsidRPr="00D25689">
        <w:rPr>
          <w:sz w:val="22"/>
          <w:szCs w:val="22"/>
          <w:lang w:val="en-GB"/>
        </w:rPr>
        <w:t>Iodosulfuron</w:t>
      </w:r>
      <w:proofErr w:type="spellEnd"/>
      <w:r w:rsidRPr="00D25689">
        <w:rPr>
          <w:sz w:val="22"/>
          <w:szCs w:val="22"/>
          <w:lang w:val="en-GB"/>
        </w:rPr>
        <w:t>-methyl-sodium</w:t>
      </w:r>
    </w:p>
    <w:tbl>
      <w:tblPr>
        <w:tblStyle w:val="Tabela-Siatka"/>
        <w:tblW w:w="0" w:type="auto"/>
        <w:tblLayout w:type="fixed"/>
        <w:tblLook w:val="04A0"/>
      </w:tblPr>
      <w:tblGrid>
        <w:gridCol w:w="1838"/>
        <w:gridCol w:w="1985"/>
        <w:gridCol w:w="2551"/>
        <w:gridCol w:w="2974"/>
      </w:tblGrid>
      <w:tr w:rsidR="003D6426" w:rsidTr="00FB0266">
        <w:tc>
          <w:tcPr>
            <w:tcW w:w="1838" w:type="dxa"/>
          </w:tcPr>
          <w:p w:rsidR="003D6426" w:rsidRPr="00D25689" w:rsidRDefault="003D6426" w:rsidP="003D6426">
            <w:pPr>
              <w:pStyle w:val="RepStandard"/>
              <w:rPr>
                <w:b/>
                <w:bCs/>
                <w:sz w:val="20"/>
                <w:szCs w:val="20"/>
              </w:rPr>
            </w:pPr>
          </w:p>
        </w:tc>
        <w:tc>
          <w:tcPr>
            <w:tcW w:w="1985" w:type="dxa"/>
          </w:tcPr>
          <w:p w:rsidR="003D6426" w:rsidRPr="00D25689" w:rsidRDefault="003D6426" w:rsidP="003D6426">
            <w:pPr>
              <w:pStyle w:val="RepStandard"/>
              <w:rPr>
                <w:b/>
                <w:bCs/>
                <w:sz w:val="20"/>
                <w:szCs w:val="20"/>
              </w:rPr>
            </w:pPr>
            <w:r w:rsidRPr="00D25689">
              <w:rPr>
                <w:b/>
                <w:bCs/>
                <w:sz w:val="20"/>
                <w:szCs w:val="20"/>
              </w:rPr>
              <w:t>Value</w:t>
            </w:r>
          </w:p>
        </w:tc>
        <w:tc>
          <w:tcPr>
            <w:tcW w:w="2551" w:type="dxa"/>
          </w:tcPr>
          <w:p w:rsidR="003D6426" w:rsidRPr="00D25689" w:rsidRDefault="003D6426" w:rsidP="003D6426">
            <w:pPr>
              <w:pStyle w:val="RepStandard"/>
              <w:rPr>
                <w:b/>
                <w:bCs/>
                <w:sz w:val="20"/>
                <w:szCs w:val="20"/>
              </w:rPr>
            </w:pPr>
            <w:r w:rsidRPr="00D25689">
              <w:rPr>
                <w:b/>
                <w:bCs/>
                <w:sz w:val="20"/>
                <w:szCs w:val="20"/>
              </w:rPr>
              <w:t>Justification for value</w:t>
            </w:r>
          </w:p>
        </w:tc>
        <w:tc>
          <w:tcPr>
            <w:tcW w:w="2974" w:type="dxa"/>
            <w:shd w:val="clear" w:color="auto" w:fill="D9D9D9" w:themeFill="background1" w:themeFillShade="D9"/>
          </w:tcPr>
          <w:p w:rsidR="003D6426" w:rsidRPr="00D25689" w:rsidRDefault="003D6426" w:rsidP="003D6426">
            <w:pPr>
              <w:pStyle w:val="RepStandard"/>
              <w:rPr>
                <w:b/>
                <w:bCs/>
                <w:sz w:val="20"/>
                <w:szCs w:val="20"/>
              </w:rPr>
            </w:pPr>
            <w:r w:rsidRPr="00D25689">
              <w:rPr>
                <w:b/>
                <w:bCs/>
                <w:sz w:val="20"/>
                <w:szCs w:val="20"/>
              </w:rPr>
              <w:t>Acceptability of justification</w:t>
            </w:r>
          </w:p>
        </w:tc>
      </w:tr>
      <w:tr w:rsidR="003D6426" w:rsidTr="00FB0266">
        <w:tc>
          <w:tcPr>
            <w:tcW w:w="1838" w:type="dxa"/>
          </w:tcPr>
          <w:p w:rsidR="003D6426" w:rsidRPr="00D25689" w:rsidRDefault="003D6426" w:rsidP="003D6426">
            <w:pPr>
              <w:pStyle w:val="RepStandard"/>
              <w:jc w:val="left"/>
              <w:rPr>
                <w:sz w:val="20"/>
                <w:szCs w:val="20"/>
              </w:rPr>
            </w:pPr>
            <w:r w:rsidRPr="00D25689">
              <w:rPr>
                <w:sz w:val="20"/>
                <w:szCs w:val="20"/>
              </w:rPr>
              <w:t>Concentrate</w:t>
            </w:r>
          </w:p>
        </w:tc>
        <w:tc>
          <w:tcPr>
            <w:tcW w:w="1985" w:type="dxa"/>
          </w:tcPr>
          <w:p w:rsidR="003D6426" w:rsidRPr="00D25689" w:rsidRDefault="003D6426" w:rsidP="003D6426">
            <w:pPr>
              <w:pStyle w:val="RepStandard"/>
              <w:jc w:val="left"/>
              <w:rPr>
                <w:sz w:val="20"/>
                <w:szCs w:val="20"/>
              </w:rPr>
            </w:pPr>
            <w:r w:rsidRPr="00D25689">
              <w:rPr>
                <w:sz w:val="20"/>
                <w:szCs w:val="20"/>
              </w:rPr>
              <w:t>70%</w:t>
            </w:r>
          </w:p>
        </w:tc>
        <w:tc>
          <w:tcPr>
            <w:tcW w:w="2551" w:type="dxa"/>
          </w:tcPr>
          <w:p w:rsidR="003D6426" w:rsidRPr="00D25689" w:rsidRDefault="003D6426" w:rsidP="003D6426">
            <w:pPr>
              <w:pStyle w:val="RepStandard"/>
              <w:jc w:val="left"/>
              <w:rPr>
                <w:sz w:val="20"/>
                <w:szCs w:val="20"/>
              </w:rPr>
            </w:pPr>
            <w:r w:rsidRPr="00D25689">
              <w:rPr>
                <w:sz w:val="20"/>
                <w:szCs w:val="20"/>
              </w:rPr>
              <w:t>Concentration &lt; 50 g/L</w:t>
            </w:r>
          </w:p>
        </w:tc>
        <w:tc>
          <w:tcPr>
            <w:tcW w:w="2974" w:type="dxa"/>
            <w:shd w:val="clear" w:color="auto" w:fill="D9D9D9" w:themeFill="background1" w:themeFillShade="D9"/>
          </w:tcPr>
          <w:p w:rsidR="003D6426" w:rsidRPr="00D25689" w:rsidRDefault="00FB2401" w:rsidP="003D6426">
            <w:pPr>
              <w:pStyle w:val="RepStandard"/>
              <w:jc w:val="left"/>
              <w:rPr>
                <w:sz w:val="20"/>
                <w:szCs w:val="20"/>
              </w:rPr>
            </w:pPr>
            <w:r>
              <w:rPr>
                <w:sz w:val="20"/>
                <w:szCs w:val="20"/>
              </w:rPr>
              <w:t>YES</w:t>
            </w:r>
          </w:p>
        </w:tc>
      </w:tr>
      <w:tr w:rsidR="003D6426" w:rsidTr="00FB0266">
        <w:tc>
          <w:tcPr>
            <w:tcW w:w="1838" w:type="dxa"/>
          </w:tcPr>
          <w:p w:rsidR="003D6426" w:rsidRPr="00D25689" w:rsidRDefault="003D6426" w:rsidP="003D6426">
            <w:pPr>
              <w:pStyle w:val="RepStandard"/>
              <w:jc w:val="left"/>
              <w:rPr>
                <w:sz w:val="20"/>
                <w:szCs w:val="20"/>
              </w:rPr>
            </w:pPr>
            <w:r w:rsidRPr="00D25689">
              <w:rPr>
                <w:sz w:val="20"/>
                <w:szCs w:val="20"/>
              </w:rPr>
              <w:t>Dilution</w:t>
            </w:r>
          </w:p>
        </w:tc>
        <w:tc>
          <w:tcPr>
            <w:tcW w:w="1985" w:type="dxa"/>
          </w:tcPr>
          <w:p w:rsidR="003D6426" w:rsidRPr="00D25689" w:rsidRDefault="003D6426" w:rsidP="003D6426">
            <w:pPr>
              <w:pStyle w:val="RepStandard"/>
              <w:jc w:val="left"/>
              <w:rPr>
                <w:sz w:val="20"/>
                <w:szCs w:val="20"/>
              </w:rPr>
            </w:pPr>
            <w:r w:rsidRPr="00D25689">
              <w:rPr>
                <w:sz w:val="20"/>
                <w:szCs w:val="20"/>
              </w:rPr>
              <w:t>70%</w:t>
            </w:r>
          </w:p>
        </w:tc>
        <w:tc>
          <w:tcPr>
            <w:tcW w:w="2551" w:type="dxa"/>
          </w:tcPr>
          <w:p w:rsidR="003D6426" w:rsidRPr="00D25689" w:rsidRDefault="003D6426" w:rsidP="003D6426">
            <w:pPr>
              <w:pStyle w:val="RepStandard"/>
              <w:jc w:val="left"/>
              <w:rPr>
                <w:sz w:val="20"/>
                <w:szCs w:val="20"/>
              </w:rPr>
            </w:pPr>
            <w:r w:rsidRPr="00D25689">
              <w:rPr>
                <w:sz w:val="20"/>
                <w:szCs w:val="20"/>
              </w:rPr>
              <w:t>Default value</w:t>
            </w:r>
          </w:p>
        </w:tc>
        <w:tc>
          <w:tcPr>
            <w:tcW w:w="2974" w:type="dxa"/>
            <w:shd w:val="clear" w:color="auto" w:fill="D9D9D9" w:themeFill="background1" w:themeFillShade="D9"/>
          </w:tcPr>
          <w:p w:rsidR="003D6426" w:rsidRPr="00D25689" w:rsidRDefault="00FB2401" w:rsidP="003D6426">
            <w:pPr>
              <w:pStyle w:val="RepStandard"/>
              <w:jc w:val="left"/>
              <w:rPr>
                <w:sz w:val="20"/>
                <w:szCs w:val="20"/>
              </w:rPr>
            </w:pPr>
            <w:r>
              <w:rPr>
                <w:sz w:val="20"/>
                <w:szCs w:val="20"/>
              </w:rPr>
              <w:t>YES</w:t>
            </w:r>
          </w:p>
        </w:tc>
      </w:tr>
    </w:tbl>
    <w:p w:rsidR="000318A3" w:rsidRPr="000318A3" w:rsidRDefault="000318A3" w:rsidP="000318A3">
      <w:pPr>
        <w:pStyle w:val="Nagwek3"/>
      </w:pPr>
      <w:bookmarkStart w:id="201" w:name="_Toc179811295"/>
      <w:bookmarkStart w:id="202" w:name="_Hlk123737981"/>
      <w:r w:rsidRPr="00BE29E2">
        <w:t xml:space="preserve">Justification for proposed values </w:t>
      </w:r>
      <w:r>
        <w:t>–</w:t>
      </w:r>
      <w:r w:rsidRPr="00BE29E2">
        <w:t xml:space="preserve"> </w:t>
      </w:r>
      <w:proofErr w:type="spellStart"/>
      <w:r>
        <w:t>Mesosulfuron</w:t>
      </w:r>
      <w:proofErr w:type="spellEnd"/>
      <w:r>
        <w:t>-</w:t>
      </w:r>
      <w:r w:rsidRPr="00BE29E2">
        <w:t>methyl</w:t>
      </w:r>
      <w:bookmarkEnd w:id="201"/>
    </w:p>
    <w:p w:rsidR="000318A3" w:rsidRDefault="000318A3" w:rsidP="003D6426">
      <w:pPr>
        <w:pStyle w:val="RepStandard"/>
      </w:pPr>
      <w:r w:rsidRPr="000318A3">
        <w:t xml:space="preserve">No data on dermal absorption for </w:t>
      </w:r>
      <w:proofErr w:type="spellStart"/>
      <w:r>
        <w:t>Mesosulfuron</w:t>
      </w:r>
      <w:proofErr w:type="spellEnd"/>
      <w:r w:rsidRPr="000318A3">
        <w:t xml:space="preserve">-methyl in product </w:t>
      </w:r>
      <w:bookmarkStart w:id="203" w:name="_Hlk149647458"/>
      <w:r w:rsidRPr="000318A3">
        <w:t xml:space="preserve">054-01-05 </w:t>
      </w:r>
      <w:bookmarkEnd w:id="203"/>
      <w:r w:rsidRPr="000318A3">
        <w:t xml:space="preserve">is available. Justifications for default values according to Guidance on Dermal Absorption </w:t>
      </w:r>
      <w:r w:rsidR="00B07137">
        <w:t>(</w:t>
      </w:r>
      <w:r w:rsidRPr="000318A3">
        <w:t>EFSA Journal 2017;15(6):4873) are presented in the following table</w:t>
      </w:r>
      <w:r>
        <w:t>.</w:t>
      </w:r>
    </w:p>
    <w:p w:rsidR="000318A3" w:rsidRDefault="000318A3" w:rsidP="003D6426">
      <w:pPr>
        <w:pStyle w:val="RepStandard"/>
      </w:pPr>
    </w:p>
    <w:p w:rsidR="000318A3" w:rsidRPr="00D25689" w:rsidRDefault="000318A3" w:rsidP="000318A3">
      <w:pPr>
        <w:pStyle w:val="Legenda"/>
        <w:keepNext/>
        <w:ind w:left="1416" w:hanging="1416"/>
        <w:rPr>
          <w:sz w:val="22"/>
          <w:szCs w:val="22"/>
          <w:lang w:val="en-GB"/>
        </w:rPr>
      </w:pPr>
      <w:r w:rsidRPr="00D25689">
        <w:rPr>
          <w:sz w:val="22"/>
          <w:szCs w:val="22"/>
          <w:lang w:val="en-GB"/>
        </w:rPr>
        <w:t>Table 6.5-</w:t>
      </w:r>
      <w:r w:rsidR="00B07137" w:rsidRPr="00D25689">
        <w:rPr>
          <w:sz w:val="22"/>
          <w:szCs w:val="22"/>
          <w:lang w:val="en-GB"/>
        </w:rPr>
        <w:t>3</w:t>
      </w:r>
      <w:r w:rsidRPr="00D25689">
        <w:rPr>
          <w:sz w:val="22"/>
          <w:szCs w:val="22"/>
          <w:lang w:val="en-GB"/>
        </w:rPr>
        <w:t>:</w:t>
      </w:r>
      <w:r w:rsidRPr="00D25689">
        <w:rPr>
          <w:sz w:val="22"/>
          <w:szCs w:val="22"/>
          <w:lang w:val="en-GB"/>
        </w:rPr>
        <w:tab/>
        <w:t xml:space="preserve">Default dermal absorption rates for </w:t>
      </w:r>
      <w:proofErr w:type="spellStart"/>
      <w:r w:rsidRPr="00D25689">
        <w:rPr>
          <w:sz w:val="22"/>
          <w:szCs w:val="22"/>
          <w:lang w:val="en-GB"/>
        </w:rPr>
        <w:t>Mesosulfuron</w:t>
      </w:r>
      <w:proofErr w:type="spellEnd"/>
      <w:r w:rsidRPr="00D25689">
        <w:rPr>
          <w:sz w:val="22"/>
          <w:szCs w:val="22"/>
          <w:lang w:val="en-GB"/>
        </w:rPr>
        <w:t>-methyl</w:t>
      </w:r>
    </w:p>
    <w:tbl>
      <w:tblPr>
        <w:tblStyle w:val="Tabela-Siatka"/>
        <w:tblW w:w="0" w:type="auto"/>
        <w:tblLayout w:type="fixed"/>
        <w:tblLook w:val="04A0"/>
      </w:tblPr>
      <w:tblGrid>
        <w:gridCol w:w="1838"/>
        <w:gridCol w:w="1985"/>
        <w:gridCol w:w="2551"/>
        <w:gridCol w:w="2974"/>
      </w:tblGrid>
      <w:tr w:rsidR="000318A3" w:rsidTr="00FB0266">
        <w:tc>
          <w:tcPr>
            <w:tcW w:w="1838" w:type="dxa"/>
          </w:tcPr>
          <w:p w:rsidR="000318A3" w:rsidRPr="00D25689" w:rsidRDefault="000318A3" w:rsidP="001D131F">
            <w:pPr>
              <w:pStyle w:val="RepStandard"/>
              <w:rPr>
                <w:b/>
                <w:bCs/>
                <w:sz w:val="20"/>
                <w:szCs w:val="20"/>
              </w:rPr>
            </w:pPr>
          </w:p>
        </w:tc>
        <w:tc>
          <w:tcPr>
            <w:tcW w:w="1985" w:type="dxa"/>
          </w:tcPr>
          <w:p w:rsidR="000318A3" w:rsidRPr="00D25689" w:rsidRDefault="000318A3" w:rsidP="001D131F">
            <w:pPr>
              <w:pStyle w:val="RepStandard"/>
              <w:rPr>
                <w:b/>
                <w:bCs/>
                <w:sz w:val="20"/>
                <w:szCs w:val="20"/>
              </w:rPr>
            </w:pPr>
            <w:r w:rsidRPr="00D25689">
              <w:rPr>
                <w:b/>
                <w:bCs/>
                <w:sz w:val="20"/>
                <w:szCs w:val="20"/>
              </w:rPr>
              <w:t>Value</w:t>
            </w:r>
          </w:p>
        </w:tc>
        <w:tc>
          <w:tcPr>
            <w:tcW w:w="2551" w:type="dxa"/>
          </w:tcPr>
          <w:p w:rsidR="000318A3" w:rsidRPr="00D25689" w:rsidRDefault="000318A3" w:rsidP="001D131F">
            <w:pPr>
              <w:pStyle w:val="RepStandard"/>
              <w:rPr>
                <w:b/>
                <w:bCs/>
                <w:sz w:val="20"/>
                <w:szCs w:val="20"/>
              </w:rPr>
            </w:pPr>
            <w:r w:rsidRPr="00D25689">
              <w:rPr>
                <w:b/>
                <w:bCs/>
                <w:sz w:val="20"/>
                <w:szCs w:val="20"/>
              </w:rPr>
              <w:t>Justification for value</w:t>
            </w:r>
          </w:p>
        </w:tc>
        <w:tc>
          <w:tcPr>
            <w:tcW w:w="2974" w:type="dxa"/>
            <w:shd w:val="clear" w:color="auto" w:fill="D9D9D9" w:themeFill="background1" w:themeFillShade="D9"/>
          </w:tcPr>
          <w:p w:rsidR="000318A3" w:rsidRPr="00D25689" w:rsidRDefault="000318A3" w:rsidP="001D131F">
            <w:pPr>
              <w:pStyle w:val="RepStandard"/>
              <w:rPr>
                <w:b/>
                <w:bCs/>
                <w:sz w:val="20"/>
                <w:szCs w:val="20"/>
              </w:rPr>
            </w:pPr>
            <w:r w:rsidRPr="00D25689">
              <w:rPr>
                <w:b/>
                <w:bCs/>
                <w:sz w:val="20"/>
                <w:szCs w:val="20"/>
              </w:rPr>
              <w:t>Acceptability of justification</w:t>
            </w:r>
          </w:p>
        </w:tc>
      </w:tr>
      <w:tr w:rsidR="000318A3" w:rsidTr="00FB0266">
        <w:tc>
          <w:tcPr>
            <w:tcW w:w="1838" w:type="dxa"/>
          </w:tcPr>
          <w:p w:rsidR="000318A3" w:rsidRPr="00D25689" w:rsidRDefault="000318A3" w:rsidP="001D131F">
            <w:pPr>
              <w:pStyle w:val="RepStandard"/>
              <w:jc w:val="left"/>
              <w:rPr>
                <w:sz w:val="20"/>
                <w:szCs w:val="20"/>
              </w:rPr>
            </w:pPr>
            <w:r w:rsidRPr="00D25689">
              <w:rPr>
                <w:sz w:val="20"/>
                <w:szCs w:val="20"/>
              </w:rPr>
              <w:t>Concentrate</w:t>
            </w:r>
          </w:p>
        </w:tc>
        <w:tc>
          <w:tcPr>
            <w:tcW w:w="1985" w:type="dxa"/>
          </w:tcPr>
          <w:p w:rsidR="000318A3" w:rsidRPr="00D25689" w:rsidRDefault="000318A3" w:rsidP="001D131F">
            <w:pPr>
              <w:pStyle w:val="RepStandard"/>
              <w:jc w:val="left"/>
              <w:rPr>
                <w:sz w:val="20"/>
                <w:szCs w:val="20"/>
              </w:rPr>
            </w:pPr>
            <w:r w:rsidRPr="00D25689">
              <w:rPr>
                <w:sz w:val="20"/>
                <w:szCs w:val="20"/>
              </w:rPr>
              <w:t>70%</w:t>
            </w:r>
          </w:p>
        </w:tc>
        <w:tc>
          <w:tcPr>
            <w:tcW w:w="2551" w:type="dxa"/>
          </w:tcPr>
          <w:p w:rsidR="000318A3" w:rsidRPr="00D25689" w:rsidRDefault="000318A3" w:rsidP="001D131F">
            <w:pPr>
              <w:pStyle w:val="RepStandard"/>
              <w:jc w:val="left"/>
              <w:rPr>
                <w:sz w:val="20"/>
                <w:szCs w:val="20"/>
              </w:rPr>
            </w:pPr>
            <w:r w:rsidRPr="00D25689">
              <w:rPr>
                <w:sz w:val="20"/>
                <w:szCs w:val="20"/>
              </w:rPr>
              <w:t>Concentration &lt; 50 g/L</w:t>
            </w:r>
          </w:p>
        </w:tc>
        <w:tc>
          <w:tcPr>
            <w:tcW w:w="2974" w:type="dxa"/>
            <w:shd w:val="clear" w:color="auto" w:fill="D9D9D9" w:themeFill="background1" w:themeFillShade="D9"/>
          </w:tcPr>
          <w:p w:rsidR="000318A3" w:rsidRPr="00D25689" w:rsidRDefault="00FB2401" w:rsidP="001D131F">
            <w:pPr>
              <w:pStyle w:val="RepStandard"/>
              <w:jc w:val="left"/>
              <w:rPr>
                <w:sz w:val="20"/>
                <w:szCs w:val="20"/>
              </w:rPr>
            </w:pPr>
            <w:r>
              <w:rPr>
                <w:sz w:val="20"/>
                <w:szCs w:val="20"/>
              </w:rPr>
              <w:t>YES</w:t>
            </w:r>
          </w:p>
        </w:tc>
      </w:tr>
      <w:tr w:rsidR="000318A3" w:rsidTr="00FB0266">
        <w:tc>
          <w:tcPr>
            <w:tcW w:w="1838" w:type="dxa"/>
          </w:tcPr>
          <w:p w:rsidR="000318A3" w:rsidRPr="00D25689" w:rsidRDefault="000318A3" w:rsidP="001D131F">
            <w:pPr>
              <w:pStyle w:val="RepStandard"/>
              <w:jc w:val="left"/>
              <w:rPr>
                <w:sz w:val="20"/>
                <w:szCs w:val="20"/>
              </w:rPr>
            </w:pPr>
            <w:r w:rsidRPr="00D25689">
              <w:rPr>
                <w:sz w:val="20"/>
                <w:szCs w:val="20"/>
              </w:rPr>
              <w:t>Dilution</w:t>
            </w:r>
          </w:p>
        </w:tc>
        <w:tc>
          <w:tcPr>
            <w:tcW w:w="1985" w:type="dxa"/>
          </w:tcPr>
          <w:p w:rsidR="000318A3" w:rsidRPr="00D25689" w:rsidRDefault="000318A3" w:rsidP="001D131F">
            <w:pPr>
              <w:pStyle w:val="RepStandard"/>
              <w:jc w:val="left"/>
              <w:rPr>
                <w:sz w:val="20"/>
                <w:szCs w:val="20"/>
              </w:rPr>
            </w:pPr>
            <w:r w:rsidRPr="00D25689">
              <w:rPr>
                <w:sz w:val="20"/>
                <w:szCs w:val="20"/>
              </w:rPr>
              <w:t>70%</w:t>
            </w:r>
          </w:p>
        </w:tc>
        <w:tc>
          <w:tcPr>
            <w:tcW w:w="2551" w:type="dxa"/>
          </w:tcPr>
          <w:p w:rsidR="000318A3" w:rsidRPr="00D25689" w:rsidRDefault="000318A3" w:rsidP="001D131F">
            <w:pPr>
              <w:pStyle w:val="RepStandard"/>
              <w:jc w:val="left"/>
              <w:rPr>
                <w:sz w:val="20"/>
                <w:szCs w:val="20"/>
              </w:rPr>
            </w:pPr>
            <w:r w:rsidRPr="00D25689">
              <w:rPr>
                <w:sz w:val="20"/>
                <w:szCs w:val="20"/>
              </w:rPr>
              <w:t>Default value</w:t>
            </w:r>
          </w:p>
        </w:tc>
        <w:tc>
          <w:tcPr>
            <w:tcW w:w="2974" w:type="dxa"/>
            <w:shd w:val="clear" w:color="auto" w:fill="D9D9D9" w:themeFill="background1" w:themeFillShade="D9"/>
          </w:tcPr>
          <w:p w:rsidR="000318A3" w:rsidRPr="00D25689" w:rsidRDefault="00FB2401" w:rsidP="001D131F">
            <w:pPr>
              <w:pStyle w:val="RepStandard"/>
              <w:jc w:val="left"/>
              <w:rPr>
                <w:sz w:val="20"/>
                <w:szCs w:val="20"/>
              </w:rPr>
            </w:pPr>
            <w:r>
              <w:rPr>
                <w:sz w:val="20"/>
                <w:szCs w:val="20"/>
              </w:rPr>
              <w:t>YES</w:t>
            </w:r>
          </w:p>
        </w:tc>
      </w:tr>
    </w:tbl>
    <w:p w:rsidR="00B07137" w:rsidRPr="000318A3" w:rsidRDefault="00B07137" w:rsidP="00B07137">
      <w:pPr>
        <w:pStyle w:val="Nagwek3"/>
      </w:pPr>
      <w:bookmarkStart w:id="204" w:name="_Toc179811296"/>
      <w:bookmarkEnd w:id="202"/>
      <w:r w:rsidRPr="00BE29E2">
        <w:t xml:space="preserve">Justification for proposed values </w:t>
      </w:r>
      <w:r>
        <w:t>–</w:t>
      </w:r>
      <w:r w:rsidRPr="00BE29E2">
        <w:t xml:space="preserve"> </w:t>
      </w:r>
      <w:proofErr w:type="spellStart"/>
      <w:r>
        <w:t>Mefenpyr</w:t>
      </w:r>
      <w:proofErr w:type="spellEnd"/>
      <w:r>
        <w:t>-diethyl</w:t>
      </w:r>
      <w:bookmarkEnd w:id="204"/>
    </w:p>
    <w:p w:rsidR="00B07137" w:rsidRDefault="00B07137" w:rsidP="00B07137">
      <w:pPr>
        <w:pStyle w:val="RepStandard"/>
      </w:pPr>
      <w:r w:rsidRPr="000318A3">
        <w:t xml:space="preserve">No data on dermal absorption for </w:t>
      </w:r>
      <w:proofErr w:type="spellStart"/>
      <w:r>
        <w:t>Mefenpyr</w:t>
      </w:r>
      <w:proofErr w:type="spellEnd"/>
      <w:r>
        <w:t xml:space="preserve">-diethyl </w:t>
      </w:r>
      <w:r w:rsidRPr="000318A3">
        <w:t xml:space="preserve">in product 054-01-05 is available. Justifications for default values according to Guidance on Dermal Absorption </w:t>
      </w:r>
      <w:r>
        <w:t>(</w:t>
      </w:r>
      <w:r w:rsidRPr="000318A3">
        <w:t>EFSA Journal 2017;15(6):4873) are presented in the following table</w:t>
      </w:r>
      <w:r>
        <w:t>.</w:t>
      </w:r>
    </w:p>
    <w:p w:rsidR="00B07137" w:rsidRDefault="00B07137" w:rsidP="00B07137">
      <w:pPr>
        <w:pStyle w:val="RepStandard"/>
      </w:pPr>
    </w:p>
    <w:p w:rsidR="00B07137" w:rsidRPr="00D25689" w:rsidRDefault="00B07137" w:rsidP="00B07137">
      <w:pPr>
        <w:pStyle w:val="Legenda"/>
        <w:keepNext/>
        <w:ind w:left="1416" w:hanging="1416"/>
        <w:rPr>
          <w:sz w:val="22"/>
          <w:szCs w:val="22"/>
          <w:lang w:val="en-GB"/>
        </w:rPr>
      </w:pPr>
      <w:r w:rsidRPr="00D25689">
        <w:rPr>
          <w:sz w:val="22"/>
          <w:szCs w:val="22"/>
          <w:lang w:val="en-GB"/>
        </w:rPr>
        <w:t>Table 6.5-4:</w:t>
      </w:r>
      <w:r w:rsidRPr="00D25689">
        <w:rPr>
          <w:sz w:val="22"/>
          <w:szCs w:val="22"/>
          <w:lang w:val="en-GB"/>
        </w:rPr>
        <w:tab/>
        <w:t xml:space="preserve">Default dermal absorption rates for </w:t>
      </w:r>
      <w:proofErr w:type="spellStart"/>
      <w:r w:rsidRPr="00D25689">
        <w:rPr>
          <w:sz w:val="22"/>
          <w:szCs w:val="22"/>
          <w:lang w:val="en-GB"/>
        </w:rPr>
        <w:t>Mefenpyr</w:t>
      </w:r>
      <w:proofErr w:type="spellEnd"/>
      <w:r w:rsidRPr="00D25689">
        <w:rPr>
          <w:sz w:val="22"/>
          <w:szCs w:val="22"/>
          <w:lang w:val="en-GB"/>
        </w:rPr>
        <w:t>-diethyl</w:t>
      </w:r>
    </w:p>
    <w:tbl>
      <w:tblPr>
        <w:tblStyle w:val="Tabela-Siatka"/>
        <w:tblW w:w="0" w:type="auto"/>
        <w:tblLayout w:type="fixed"/>
        <w:tblLook w:val="04A0"/>
      </w:tblPr>
      <w:tblGrid>
        <w:gridCol w:w="1838"/>
        <w:gridCol w:w="1985"/>
        <w:gridCol w:w="2551"/>
        <w:gridCol w:w="2974"/>
      </w:tblGrid>
      <w:tr w:rsidR="00B07137" w:rsidTr="00FB0266">
        <w:tc>
          <w:tcPr>
            <w:tcW w:w="1838" w:type="dxa"/>
          </w:tcPr>
          <w:p w:rsidR="00B07137" w:rsidRPr="00D25689" w:rsidRDefault="00B07137" w:rsidP="001D131F">
            <w:pPr>
              <w:pStyle w:val="RepStandard"/>
              <w:rPr>
                <w:b/>
                <w:bCs/>
                <w:sz w:val="20"/>
                <w:szCs w:val="20"/>
              </w:rPr>
            </w:pPr>
          </w:p>
        </w:tc>
        <w:tc>
          <w:tcPr>
            <w:tcW w:w="1985" w:type="dxa"/>
          </w:tcPr>
          <w:p w:rsidR="00B07137" w:rsidRPr="00D25689" w:rsidRDefault="00B07137" w:rsidP="001D131F">
            <w:pPr>
              <w:pStyle w:val="RepStandard"/>
              <w:rPr>
                <w:b/>
                <w:bCs/>
                <w:sz w:val="20"/>
                <w:szCs w:val="20"/>
              </w:rPr>
            </w:pPr>
            <w:r w:rsidRPr="00D25689">
              <w:rPr>
                <w:b/>
                <w:bCs/>
                <w:sz w:val="20"/>
                <w:szCs w:val="20"/>
              </w:rPr>
              <w:t>Value</w:t>
            </w:r>
          </w:p>
        </w:tc>
        <w:tc>
          <w:tcPr>
            <w:tcW w:w="2551" w:type="dxa"/>
          </w:tcPr>
          <w:p w:rsidR="00B07137" w:rsidRPr="00D25689" w:rsidRDefault="00B07137" w:rsidP="001D131F">
            <w:pPr>
              <w:pStyle w:val="RepStandard"/>
              <w:rPr>
                <w:b/>
                <w:bCs/>
                <w:sz w:val="20"/>
                <w:szCs w:val="20"/>
              </w:rPr>
            </w:pPr>
            <w:r w:rsidRPr="00D25689">
              <w:rPr>
                <w:b/>
                <w:bCs/>
                <w:sz w:val="20"/>
                <w:szCs w:val="20"/>
              </w:rPr>
              <w:t>Justification for value</w:t>
            </w:r>
          </w:p>
        </w:tc>
        <w:tc>
          <w:tcPr>
            <w:tcW w:w="2974" w:type="dxa"/>
            <w:shd w:val="clear" w:color="auto" w:fill="D9D9D9" w:themeFill="background1" w:themeFillShade="D9"/>
          </w:tcPr>
          <w:p w:rsidR="00B07137" w:rsidRPr="00D25689" w:rsidRDefault="00B07137" w:rsidP="001D131F">
            <w:pPr>
              <w:pStyle w:val="RepStandard"/>
              <w:rPr>
                <w:b/>
                <w:bCs/>
                <w:sz w:val="20"/>
                <w:szCs w:val="20"/>
              </w:rPr>
            </w:pPr>
            <w:r w:rsidRPr="00D25689">
              <w:rPr>
                <w:b/>
                <w:bCs/>
                <w:sz w:val="20"/>
                <w:szCs w:val="20"/>
              </w:rPr>
              <w:t>Acceptability of justification</w:t>
            </w:r>
          </w:p>
        </w:tc>
      </w:tr>
      <w:tr w:rsidR="00B07137" w:rsidTr="00FB0266">
        <w:tc>
          <w:tcPr>
            <w:tcW w:w="1838" w:type="dxa"/>
          </w:tcPr>
          <w:p w:rsidR="00B07137" w:rsidRPr="00D25689" w:rsidRDefault="00B07137" w:rsidP="001D131F">
            <w:pPr>
              <w:pStyle w:val="RepStandard"/>
              <w:jc w:val="left"/>
              <w:rPr>
                <w:sz w:val="20"/>
                <w:szCs w:val="20"/>
              </w:rPr>
            </w:pPr>
            <w:r w:rsidRPr="00D25689">
              <w:rPr>
                <w:sz w:val="20"/>
                <w:szCs w:val="20"/>
              </w:rPr>
              <w:t>Concentrate</w:t>
            </w:r>
          </w:p>
        </w:tc>
        <w:tc>
          <w:tcPr>
            <w:tcW w:w="1985" w:type="dxa"/>
          </w:tcPr>
          <w:p w:rsidR="00B07137" w:rsidRPr="00D25689" w:rsidRDefault="00B07137" w:rsidP="001D131F">
            <w:pPr>
              <w:pStyle w:val="RepStandard"/>
              <w:jc w:val="left"/>
              <w:rPr>
                <w:sz w:val="20"/>
                <w:szCs w:val="20"/>
              </w:rPr>
            </w:pPr>
            <w:r w:rsidRPr="00D25689">
              <w:rPr>
                <w:sz w:val="20"/>
                <w:szCs w:val="20"/>
              </w:rPr>
              <w:t>70%</w:t>
            </w:r>
          </w:p>
        </w:tc>
        <w:tc>
          <w:tcPr>
            <w:tcW w:w="2551" w:type="dxa"/>
          </w:tcPr>
          <w:p w:rsidR="00B07137" w:rsidRPr="00D25689" w:rsidRDefault="00B07137" w:rsidP="001D131F">
            <w:pPr>
              <w:pStyle w:val="RepStandard"/>
              <w:jc w:val="left"/>
              <w:rPr>
                <w:sz w:val="20"/>
                <w:szCs w:val="20"/>
              </w:rPr>
            </w:pPr>
            <w:r w:rsidRPr="00D25689">
              <w:rPr>
                <w:sz w:val="20"/>
                <w:szCs w:val="20"/>
              </w:rPr>
              <w:t>Concentration &lt; 50 g/L</w:t>
            </w:r>
          </w:p>
        </w:tc>
        <w:tc>
          <w:tcPr>
            <w:tcW w:w="2974" w:type="dxa"/>
            <w:shd w:val="clear" w:color="auto" w:fill="D9D9D9" w:themeFill="background1" w:themeFillShade="D9"/>
          </w:tcPr>
          <w:p w:rsidR="00B07137" w:rsidRPr="00D25689" w:rsidRDefault="00FB2401" w:rsidP="001D131F">
            <w:pPr>
              <w:pStyle w:val="RepStandard"/>
              <w:jc w:val="left"/>
              <w:rPr>
                <w:sz w:val="20"/>
                <w:szCs w:val="20"/>
              </w:rPr>
            </w:pPr>
            <w:r>
              <w:rPr>
                <w:sz w:val="20"/>
                <w:szCs w:val="20"/>
              </w:rPr>
              <w:t>YES</w:t>
            </w:r>
          </w:p>
        </w:tc>
      </w:tr>
      <w:tr w:rsidR="00B07137" w:rsidTr="00FB0266">
        <w:tc>
          <w:tcPr>
            <w:tcW w:w="1838" w:type="dxa"/>
          </w:tcPr>
          <w:p w:rsidR="00B07137" w:rsidRPr="00D25689" w:rsidRDefault="00B07137" w:rsidP="001D131F">
            <w:pPr>
              <w:pStyle w:val="RepStandard"/>
              <w:jc w:val="left"/>
              <w:rPr>
                <w:sz w:val="20"/>
                <w:szCs w:val="20"/>
              </w:rPr>
            </w:pPr>
            <w:r w:rsidRPr="00D25689">
              <w:rPr>
                <w:sz w:val="20"/>
                <w:szCs w:val="20"/>
              </w:rPr>
              <w:t>Dilution</w:t>
            </w:r>
          </w:p>
        </w:tc>
        <w:tc>
          <w:tcPr>
            <w:tcW w:w="1985" w:type="dxa"/>
          </w:tcPr>
          <w:p w:rsidR="00B07137" w:rsidRPr="00D25689" w:rsidRDefault="00B07137" w:rsidP="001D131F">
            <w:pPr>
              <w:pStyle w:val="RepStandard"/>
              <w:jc w:val="left"/>
              <w:rPr>
                <w:sz w:val="20"/>
                <w:szCs w:val="20"/>
              </w:rPr>
            </w:pPr>
            <w:r w:rsidRPr="00D25689">
              <w:rPr>
                <w:sz w:val="20"/>
                <w:szCs w:val="20"/>
              </w:rPr>
              <w:t>70%</w:t>
            </w:r>
          </w:p>
        </w:tc>
        <w:tc>
          <w:tcPr>
            <w:tcW w:w="2551" w:type="dxa"/>
          </w:tcPr>
          <w:p w:rsidR="00B07137" w:rsidRPr="00D25689" w:rsidRDefault="00B07137" w:rsidP="001D131F">
            <w:pPr>
              <w:pStyle w:val="RepStandard"/>
              <w:jc w:val="left"/>
              <w:rPr>
                <w:sz w:val="20"/>
                <w:szCs w:val="20"/>
              </w:rPr>
            </w:pPr>
            <w:r w:rsidRPr="00D25689">
              <w:rPr>
                <w:sz w:val="20"/>
                <w:szCs w:val="20"/>
              </w:rPr>
              <w:t>Default value</w:t>
            </w:r>
          </w:p>
        </w:tc>
        <w:tc>
          <w:tcPr>
            <w:tcW w:w="2974" w:type="dxa"/>
            <w:shd w:val="clear" w:color="auto" w:fill="D9D9D9" w:themeFill="background1" w:themeFillShade="D9"/>
          </w:tcPr>
          <w:p w:rsidR="00B07137" w:rsidRPr="00D25689" w:rsidRDefault="00FB2401" w:rsidP="001D131F">
            <w:pPr>
              <w:pStyle w:val="RepStandard"/>
              <w:jc w:val="left"/>
              <w:rPr>
                <w:sz w:val="20"/>
                <w:szCs w:val="20"/>
              </w:rPr>
            </w:pPr>
            <w:r>
              <w:rPr>
                <w:sz w:val="20"/>
                <w:szCs w:val="20"/>
              </w:rPr>
              <w:t>YES</w:t>
            </w:r>
          </w:p>
        </w:tc>
      </w:tr>
    </w:tbl>
    <w:p w:rsidR="00BE29E2" w:rsidRDefault="00C81348" w:rsidP="00BE29E2">
      <w:pPr>
        <w:pStyle w:val="Nagwek2"/>
      </w:pPr>
      <w:bookmarkStart w:id="205" w:name="_Toc300147918"/>
      <w:bookmarkStart w:id="206" w:name="_Toc304462611"/>
      <w:bookmarkStart w:id="207" w:name="_Toc314067802"/>
      <w:bookmarkStart w:id="208" w:name="_Toc314122092"/>
      <w:bookmarkStart w:id="209" w:name="_Toc314129271"/>
      <w:bookmarkStart w:id="210" w:name="_Toc314142390"/>
      <w:bookmarkStart w:id="211" w:name="_Toc314557397"/>
      <w:bookmarkStart w:id="212" w:name="_Toc314557655"/>
      <w:bookmarkStart w:id="213" w:name="_Toc328552156"/>
      <w:bookmarkStart w:id="214" w:name="_Toc332020599"/>
      <w:bookmarkStart w:id="215" w:name="_Toc332203443"/>
      <w:bookmarkStart w:id="216" w:name="_Toc332206995"/>
      <w:bookmarkStart w:id="217" w:name="_Toc332296164"/>
      <w:bookmarkStart w:id="218" w:name="_Toc336434731"/>
      <w:bookmarkStart w:id="219" w:name="_Toc179811297"/>
      <w:r w:rsidRPr="003E0C41">
        <w:t>Exposure Assessment of Plant Protection Product</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E0C41">
        <w:t xml:space="preserve"> (KCP 7.2)</w:t>
      </w:r>
      <w:bookmarkEnd w:id="219"/>
    </w:p>
    <w:p w:rsidR="004428A3" w:rsidRPr="006E39CA" w:rsidRDefault="004428A3" w:rsidP="004428A3">
      <w:pPr>
        <w:pStyle w:val="RepStandard"/>
      </w:pPr>
      <w:bookmarkStart w:id="220" w:name="_Hlk150412712"/>
      <w:r w:rsidRPr="006E39CA">
        <w:t xml:space="preserve">The </w:t>
      </w:r>
      <w:r w:rsidR="00612E10" w:rsidRPr="006E39CA">
        <w:t>following non-dietary risk assessment has</w:t>
      </w:r>
      <w:r w:rsidRPr="006E39CA">
        <w:t xml:space="preserve"> </w:t>
      </w:r>
      <w:r w:rsidR="00612E10" w:rsidRPr="006E39CA">
        <w:t xml:space="preserve">been updated to meet the requirements of ‘Guidance on the assessment of exposure of operators, workers, residents and bystanders in risk assessment for plant protection products; EFSA Journal 2022;20(1):7032’ and using the OPEX calculator version: v 1.0.1. </w:t>
      </w:r>
    </w:p>
    <w:bookmarkEnd w:id="220"/>
    <w:p w:rsidR="00626B8E" w:rsidRDefault="00626B8E">
      <w:pPr>
        <w:rPr>
          <w:b/>
          <w:bCs/>
          <w:lang w:val="en-GB"/>
        </w:rPr>
      </w:pPr>
      <w:r>
        <w:rPr>
          <w:b/>
          <w:bCs/>
          <w:lang w:val="en-GB"/>
        </w:rPr>
        <w:br w:type="page"/>
      </w:r>
    </w:p>
    <w:p w:rsidR="00C2492E" w:rsidRPr="00C2492E" w:rsidRDefault="003D1BAB" w:rsidP="00C2492E">
      <w:pPr>
        <w:pStyle w:val="Nagwek7"/>
        <w:spacing w:after="107"/>
        <w:ind w:left="1408" w:hanging="1416"/>
        <w:rPr>
          <w:rFonts w:ascii="Times New Roman" w:hAnsi="Times New Roman"/>
          <w:b/>
          <w:bCs/>
          <w:noProof w:val="0"/>
          <w:szCs w:val="22"/>
          <w:lang w:val="en-GB"/>
        </w:rPr>
      </w:pPr>
      <w:r w:rsidRPr="003D1BAB">
        <w:rPr>
          <w:rFonts w:ascii="Times New Roman" w:hAnsi="Times New Roman"/>
          <w:b/>
          <w:bCs/>
          <w:noProof w:val="0"/>
          <w:szCs w:val="22"/>
          <w:lang w:val="en-GB"/>
        </w:rPr>
        <w:lastRenderedPageBreak/>
        <w:t>Table </w:t>
      </w:r>
      <w:r w:rsidR="00772379" w:rsidRPr="003D1BAB">
        <w:rPr>
          <w:rFonts w:ascii="Times New Roman" w:hAnsi="Times New Roman"/>
          <w:b/>
          <w:bCs/>
          <w:noProof w:val="0"/>
          <w:szCs w:val="22"/>
          <w:lang w:val="en-GB"/>
        </w:rPr>
        <w:fldChar w:fldCharType="begin"/>
      </w:r>
      <w:r w:rsidRPr="003D1BAB">
        <w:rPr>
          <w:rFonts w:ascii="Times New Roman" w:hAnsi="Times New Roman"/>
          <w:b/>
          <w:bCs/>
          <w:noProof w:val="0"/>
          <w:szCs w:val="22"/>
          <w:lang w:val="en-GB"/>
        </w:rPr>
        <w:instrText xml:space="preserve"> STYLEREF 2 \s </w:instrText>
      </w:r>
      <w:r w:rsidR="00772379" w:rsidRPr="003D1BAB">
        <w:rPr>
          <w:rFonts w:ascii="Times New Roman" w:hAnsi="Times New Roman"/>
          <w:b/>
          <w:bCs/>
          <w:noProof w:val="0"/>
          <w:szCs w:val="22"/>
          <w:lang w:val="en-GB"/>
        </w:rPr>
        <w:fldChar w:fldCharType="separate"/>
      </w:r>
      <w:r w:rsidRPr="003D1BAB">
        <w:rPr>
          <w:rFonts w:ascii="Times New Roman" w:hAnsi="Times New Roman"/>
          <w:b/>
          <w:bCs/>
          <w:noProof w:val="0"/>
          <w:szCs w:val="22"/>
          <w:lang w:val="en-GB"/>
        </w:rPr>
        <w:t>6.6</w:t>
      </w:r>
      <w:r w:rsidR="00772379" w:rsidRPr="003D1BAB">
        <w:rPr>
          <w:rFonts w:ascii="Times New Roman" w:hAnsi="Times New Roman"/>
          <w:b/>
          <w:bCs/>
          <w:noProof w:val="0"/>
          <w:szCs w:val="22"/>
          <w:lang w:val="en-GB"/>
        </w:rPr>
        <w:fldChar w:fldCharType="end"/>
      </w:r>
      <w:r w:rsidRPr="003D1BAB">
        <w:rPr>
          <w:rFonts w:ascii="Times New Roman" w:hAnsi="Times New Roman"/>
          <w:b/>
          <w:bCs/>
          <w:noProof w:val="0"/>
          <w:szCs w:val="22"/>
          <w:lang w:val="en-GB"/>
        </w:rPr>
        <w:noBreakHyphen/>
      </w:r>
      <w:r w:rsidR="00772379" w:rsidRPr="003D1BAB">
        <w:rPr>
          <w:rFonts w:ascii="Times New Roman" w:hAnsi="Times New Roman"/>
          <w:b/>
          <w:bCs/>
          <w:noProof w:val="0"/>
          <w:szCs w:val="22"/>
          <w:lang w:val="en-GB"/>
        </w:rPr>
        <w:fldChar w:fldCharType="begin"/>
      </w:r>
      <w:r w:rsidRPr="003D1BAB">
        <w:rPr>
          <w:rFonts w:ascii="Times New Roman" w:hAnsi="Times New Roman"/>
          <w:b/>
          <w:bCs/>
          <w:noProof w:val="0"/>
          <w:szCs w:val="22"/>
          <w:lang w:val="en-GB"/>
        </w:rPr>
        <w:instrText xml:space="preserve"> SEQ Table \* ARABIC \s 2 </w:instrText>
      </w:r>
      <w:r w:rsidR="00772379" w:rsidRPr="003D1BAB">
        <w:rPr>
          <w:rFonts w:ascii="Times New Roman" w:hAnsi="Times New Roman"/>
          <w:b/>
          <w:bCs/>
          <w:noProof w:val="0"/>
          <w:szCs w:val="22"/>
          <w:lang w:val="en-GB"/>
        </w:rPr>
        <w:fldChar w:fldCharType="separate"/>
      </w:r>
      <w:r>
        <w:rPr>
          <w:rFonts w:ascii="Times New Roman" w:hAnsi="Times New Roman"/>
          <w:b/>
          <w:bCs/>
          <w:szCs w:val="22"/>
          <w:lang w:val="en-GB"/>
        </w:rPr>
        <w:t>1</w:t>
      </w:r>
      <w:r w:rsidR="00772379" w:rsidRPr="003D1BAB">
        <w:rPr>
          <w:rFonts w:ascii="Times New Roman" w:hAnsi="Times New Roman"/>
          <w:b/>
          <w:bCs/>
          <w:noProof w:val="0"/>
          <w:szCs w:val="22"/>
          <w:lang w:val="en-GB"/>
        </w:rPr>
        <w:fldChar w:fldCharType="end"/>
      </w:r>
      <w:r w:rsidR="00C2492E" w:rsidRPr="00C2492E">
        <w:rPr>
          <w:rFonts w:ascii="Times New Roman" w:hAnsi="Times New Roman"/>
          <w:b/>
          <w:bCs/>
          <w:noProof w:val="0"/>
          <w:szCs w:val="22"/>
          <w:lang w:val="en-GB"/>
        </w:rPr>
        <w:t xml:space="preserve">: </w:t>
      </w:r>
      <w:r w:rsidR="00C2492E" w:rsidRPr="00C2492E">
        <w:rPr>
          <w:rFonts w:ascii="Times New Roman" w:hAnsi="Times New Roman"/>
          <w:b/>
          <w:bCs/>
          <w:noProof w:val="0"/>
          <w:szCs w:val="22"/>
          <w:lang w:val="en-GB"/>
        </w:rPr>
        <w:tab/>
        <w:t xml:space="preserve">Product information and toxicological reference values used for exposure assessment  </w:t>
      </w:r>
    </w:p>
    <w:tbl>
      <w:tblPr>
        <w:tblStyle w:val="TableGrid"/>
        <w:tblW w:w="9475" w:type="dxa"/>
        <w:tblInd w:w="-58" w:type="dxa"/>
        <w:tblCellMar>
          <w:top w:w="3" w:type="dxa"/>
        </w:tblCellMar>
        <w:tblLook w:val="04A0"/>
      </w:tblPr>
      <w:tblGrid>
        <w:gridCol w:w="2221"/>
        <w:gridCol w:w="2177"/>
        <w:gridCol w:w="2545"/>
        <w:gridCol w:w="541"/>
        <w:gridCol w:w="1028"/>
        <w:gridCol w:w="963"/>
      </w:tblGrid>
      <w:tr w:rsidR="00842228" w:rsidTr="001D131F">
        <w:trPr>
          <w:trHeight w:val="353"/>
        </w:trPr>
        <w:tc>
          <w:tcPr>
            <w:tcW w:w="2221"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pPr>
            <w:r>
              <w:rPr>
                <w:rFonts w:ascii="Times New Roman" w:hAnsi="Times New Roman"/>
                <w:sz w:val="20"/>
              </w:rPr>
              <w:t xml:space="preserve">Product name and code </w:t>
            </w:r>
          </w:p>
        </w:tc>
        <w:tc>
          <w:tcPr>
            <w:tcW w:w="7254" w:type="dxa"/>
            <w:gridSpan w:val="5"/>
            <w:tcBorders>
              <w:top w:val="single" w:sz="4" w:space="0" w:color="000000"/>
              <w:left w:val="single" w:sz="4" w:space="0" w:color="000000"/>
              <w:bottom w:val="single" w:sz="4" w:space="0" w:color="000000"/>
              <w:right w:val="single" w:sz="4" w:space="0" w:color="000000"/>
            </w:tcBorders>
          </w:tcPr>
          <w:p w:rsidR="00842228" w:rsidRDefault="00842228" w:rsidP="001D131F">
            <w:r w:rsidRPr="00842228">
              <w:rPr>
                <w:rFonts w:ascii="Times New Roman" w:hAnsi="Times New Roman"/>
                <w:b/>
                <w:sz w:val="20"/>
              </w:rPr>
              <w:t>054-01-05</w:t>
            </w:r>
          </w:p>
        </w:tc>
      </w:tr>
      <w:tr w:rsidR="00842228" w:rsidTr="001D131F">
        <w:trPr>
          <w:trHeight w:val="355"/>
        </w:trPr>
        <w:tc>
          <w:tcPr>
            <w:tcW w:w="2221"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pPr>
            <w:r>
              <w:rPr>
                <w:rFonts w:ascii="Times New Roman" w:hAnsi="Times New Roman"/>
                <w:sz w:val="20"/>
              </w:rPr>
              <w:t xml:space="preserve">Formulation type </w:t>
            </w:r>
          </w:p>
        </w:tc>
        <w:tc>
          <w:tcPr>
            <w:tcW w:w="7254" w:type="dxa"/>
            <w:gridSpan w:val="5"/>
            <w:tcBorders>
              <w:top w:val="single" w:sz="4" w:space="0" w:color="000000"/>
              <w:left w:val="single" w:sz="4" w:space="0" w:color="000000"/>
              <w:bottom w:val="single" w:sz="4" w:space="0" w:color="000000"/>
              <w:right w:val="single" w:sz="4" w:space="0" w:color="000000"/>
            </w:tcBorders>
          </w:tcPr>
          <w:p w:rsidR="00842228" w:rsidRDefault="00842228" w:rsidP="001D131F">
            <w:r>
              <w:rPr>
                <w:rFonts w:ascii="Times New Roman" w:hAnsi="Times New Roman"/>
                <w:sz w:val="20"/>
              </w:rPr>
              <w:t xml:space="preserve">Oil </w:t>
            </w:r>
            <w:proofErr w:type="spellStart"/>
            <w:r>
              <w:rPr>
                <w:rFonts w:ascii="Times New Roman" w:hAnsi="Times New Roman"/>
                <w:sz w:val="20"/>
              </w:rPr>
              <w:t>disperable</w:t>
            </w:r>
            <w:proofErr w:type="spellEnd"/>
            <w:r>
              <w:rPr>
                <w:rFonts w:ascii="Times New Roman" w:hAnsi="Times New Roman"/>
                <w:sz w:val="20"/>
              </w:rPr>
              <w:t xml:space="preserve"> (OD) </w:t>
            </w:r>
          </w:p>
        </w:tc>
      </w:tr>
      <w:tr w:rsidR="00842228" w:rsidTr="001D131F">
        <w:trPr>
          <w:trHeight w:val="353"/>
        </w:trPr>
        <w:tc>
          <w:tcPr>
            <w:tcW w:w="2221"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pPr>
            <w:r>
              <w:rPr>
                <w:rFonts w:ascii="Times New Roman" w:hAnsi="Times New Roman"/>
                <w:sz w:val="20"/>
              </w:rPr>
              <w:t xml:space="preserve">Category </w:t>
            </w:r>
          </w:p>
        </w:tc>
        <w:tc>
          <w:tcPr>
            <w:tcW w:w="7254" w:type="dxa"/>
            <w:gridSpan w:val="5"/>
            <w:tcBorders>
              <w:top w:val="single" w:sz="4" w:space="0" w:color="000000"/>
              <w:left w:val="single" w:sz="4" w:space="0" w:color="000000"/>
              <w:bottom w:val="single" w:sz="4" w:space="0" w:color="000000"/>
              <w:right w:val="single" w:sz="4" w:space="0" w:color="000000"/>
            </w:tcBorders>
          </w:tcPr>
          <w:p w:rsidR="00842228" w:rsidRDefault="00842228" w:rsidP="001D131F">
            <w:r>
              <w:rPr>
                <w:rFonts w:ascii="Times New Roman" w:hAnsi="Times New Roman"/>
                <w:sz w:val="20"/>
              </w:rPr>
              <w:t>Herbicide</w:t>
            </w:r>
          </w:p>
        </w:tc>
      </w:tr>
      <w:tr w:rsidR="00842228" w:rsidTr="001D131F">
        <w:trPr>
          <w:trHeight w:val="1088"/>
        </w:trPr>
        <w:tc>
          <w:tcPr>
            <w:tcW w:w="2221"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right="57"/>
            </w:pPr>
            <w:r>
              <w:rPr>
                <w:rFonts w:ascii="Times New Roman" w:hAnsi="Times New Roman"/>
                <w:b/>
                <w:sz w:val="20"/>
              </w:rPr>
              <w:t>Active substance(s) (incl. content)</w:t>
            </w:r>
            <w:r>
              <w:rPr>
                <w:rFonts w:ascii="Times New Roman" w:hAnsi="Times New Roman"/>
                <w:sz w:val="20"/>
              </w:rPr>
              <w:t xml:space="preserve"> </w:t>
            </w:r>
          </w:p>
        </w:tc>
        <w:tc>
          <w:tcPr>
            <w:tcW w:w="2177" w:type="dxa"/>
            <w:tcBorders>
              <w:top w:val="single" w:sz="4" w:space="0" w:color="000000"/>
              <w:left w:val="single" w:sz="4" w:space="0" w:color="000000"/>
              <w:bottom w:val="single" w:sz="4" w:space="0" w:color="000000"/>
              <w:right w:val="single" w:sz="4" w:space="0" w:color="000000"/>
            </w:tcBorders>
          </w:tcPr>
          <w:p w:rsidR="00842228" w:rsidRDefault="00842228" w:rsidP="001D131F">
            <w:pPr>
              <w:spacing w:line="238" w:lineRule="auto"/>
              <w:ind w:left="58" w:right="296"/>
            </w:pPr>
            <w:proofErr w:type="spellStart"/>
            <w:r>
              <w:rPr>
                <w:rFonts w:ascii="Times New Roman" w:hAnsi="Times New Roman"/>
                <w:b/>
                <w:sz w:val="20"/>
              </w:rPr>
              <w:t>Iodosulfuron</w:t>
            </w:r>
            <w:proofErr w:type="spellEnd"/>
            <w:r>
              <w:rPr>
                <w:rFonts w:ascii="Times New Roman" w:hAnsi="Times New Roman"/>
                <w:b/>
                <w:sz w:val="20"/>
              </w:rPr>
              <w:t xml:space="preserve">-methyl-sodium  </w:t>
            </w:r>
          </w:p>
          <w:p w:rsidR="00842228" w:rsidRDefault="00842228" w:rsidP="001D131F">
            <w:pPr>
              <w:ind w:left="58"/>
            </w:pPr>
            <w:r>
              <w:rPr>
                <w:rFonts w:ascii="Times New Roman" w:hAnsi="Times New Roman"/>
                <w:sz w:val="20"/>
              </w:rPr>
              <w:t xml:space="preserve">2 g/L </w:t>
            </w:r>
          </w:p>
        </w:tc>
        <w:tc>
          <w:tcPr>
            <w:tcW w:w="2545"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60"/>
            </w:pPr>
            <w:proofErr w:type="spellStart"/>
            <w:r>
              <w:rPr>
                <w:rFonts w:ascii="Times New Roman" w:hAnsi="Times New Roman"/>
                <w:b/>
                <w:sz w:val="20"/>
              </w:rPr>
              <w:t>Mesosulfuron</w:t>
            </w:r>
            <w:proofErr w:type="spellEnd"/>
            <w:r>
              <w:rPr>
                <w:rFonts w:ascii="Times New Roman" w:hAnsi="Times New Roman"/>
                <w:b/>
                <w:sz w:val="20"/>
              </w:rPr>
              <w:t xml:space="preserve">-methyl </w:t>
            </w:r>
          </w:p>
          <w:p w:rsidR="00842228" w:rsidRDefault="00842228" w:rsidP="001D131F">
            <w:pPr>
              <w:ind w:left="60"/>
            </w:pPr>
            <w:r>
              <w:rPr>
                <w:rFonts w:ascii="Times New Roman" w:hAnsi="Times New Roman"/>
                <w:sz w:val="20"/>
              </w:rPr>
              <w:t>10 g/L</w:t>
            </w:r>
            <w:r>
              <w:rPr>
                <w:rFonts w:ascii="Times New Roman" w:hAnsi="Times New Roman"/>
                <w:b/>
                <w:sz w:val="20"/>
              </w:rPr>
              <w:t xml:space="preserve"> </w:t>
            </w:r>
          </w:p>
        </w:tc>
        <w:tc>
          <w:tcPr>
            <w:tcW w:w="1569" w:type="dxa"/>
            <w:gridSpan w:val="2"/>
            <w:tcBorders>
              <w:top w:val="single" w:sz="4" w:space="0" w:color="000000"/>
              <w:left w:val="single" w:sz="4" w:space="0" w:color="000000"/>
              <w:right w:val="nil"/>
            </w:tcBorders>
            <w:shd w:val="clear" w:color="auto" w:fill="auto"/>
          </w:tcPr>
          <w:p w:rsidR="00842228" w:rsidRPr="00C2492E" w:rsidRDefault="00842228" w:rsidP="001D131F">
            <w:pPr>
              <w:ind w:left="30"/>
              <w:jc w:val="both"/>
            </w:pPr>
            <w:proofErr w:type="spellStart"/>
            <w:r w:rsidRPr="00C2492E">
              <w:rPr>
                <w:rFonts w:ascii="Times New Roman" w:hAnsi="Times New Roman"/>
                <w:b/>
                <w:sz w:val="20"/>
              </w:rPr>
              <w:t>Mefenpyr</w:t>
            </w:r>
            <w:proofErr w:type="spellEnd"/>
            <w:r w:rsidRPr="00C2492E">
              <w:rPr>
                <w:rFonts w:ascii="Times New Roman" w:hAnsi="Times New Roman"/>
                <w:b/>
                <w:sz w:val="20"/>
              </w:rPr>
              <w:t>-diethyl</w:t>
            </w:r>
          </w:p>
          <w:p w:rsidR="00842228" w:rsidRPr="00C2492E" w:rsidRDefault="00842228" w:rsidP="001D131F">
            <w:r w:rsidRPr="00C2492E">
              <w:rPr>
                <w:rFonts w:ascii="Times New Roman" w:hAnsi="Times New Roman"/>
                <w:sz w:val="20"/>
              </w:rPr>
              <w:t xml:space="preserve">30 g/L </w:t>
            </w:r>
          </w:p>
        </w:tc>
        <w:tc>
          <w:tcPr>
            <w:tcW w:w="963" w:type="dxa"/>
            <w:tcBorders>
              <w:top w:val="single" w:sz="4" w:space="0" w:color="000000"/>
              <w:left w:val="nil"/>
              <w:bottom w:val="single" w:sz="4" w:space="0" w:color="000000"/>
              <w:right w:val="single" w:sz="4" w:space="0" w:color="000000"/>
            </w:tcBorders>
            <w:shd w:val="clear" w:color="auto" w:fill="auto"/>
          </w:tcPr>
          <w:p w:rsidR="00842228" w:rsidRPr="00C2492E" w:rsidRDefault="00842228" w:rsidP="001D131F">
            <w:r w:rsidRPr="00C2492E">
              <w:rPr>
                <w:rFonts w:ascii="Times New Roman" w:hAnsi="Times New Roman"/>
                <w:b/>
                <w:sz w:val="20"/>
              </w:rPr>
              <w:t xml:space="preserve">  </w:t>
            </w:r>
          </w:p>
        </w:tc>
      </w:tr>
      <w:tr w:rsidR="00C2492E" w:rsidTr="00842228">
        <w:trPr>
          <w:trHeight w:val="583"/>
        </w:trPr>
        <w:tc>
          <w:tcPr>
            <w:tcW w:w="2221" w:type="dxa"/>
            <w:tcBorders>
              <w:top w:val="single" w:sz="4" w:space="0" w:color="000000"/>
              <w:left w:val="single" w:sz="4" w:space="0" w:color="000000"/>
              <w:bottom w:val="single" w:sz="4" w:space="0" w:color="000000"/>
              <w:right w:val="single" w:sz="4" w:space="0" w:color="000000"/>
            </w:tcBorders>
          </w:tcPr>
          <w:p w:rsidR="00C2492E" w:rsidRDefault="00C2492E" w:rsidP="001D131F">
            <w:pPr>
              <w:ind w:left="58" w:right="266"/>
            </w:pPr>
            <w:r>
              <w:rPr>
                <w:rFonts w:ascii="Times New Roman" w:hAnsi="Times New Roman"/>
                <w:b/>
                <w:sz w:val="20"/>
              </w:rPr>
              <w:t>AOEL</w:t>
            </w:r>
            <w:r w:rsidR="00842228">
              <w:rPr>
                <w:rFonts w:ascii="Times New Roman" w:hAnsi="Times New Roman"/>
                <w:b/>
                <w:sz w:val="20"/>
              </w:rPr>
              <w:t xml:space="preserve"> </w:t>
            </w:r>
            <w:r w:rsidRPr="00842228">
              <w:rPr>
                <w:rFonts w:ascii="Times New Roman" w:hAnsi="Times New Roman"/>
                <w:b/>
                <w:bCs/>
                <w:sz w:val="20"/>
                <w:szCs w:val="20"/>
              </w:rPr>
              <w:t>systemic</w:t>
            </w:r>
          </w:p>
        </w:tc>
        <w:tc>
          <w:tcPr>
            <w:tcW w:w="2177" w:type="dxa"/>
            <w:tcBorders>
              <w:top w:val="single" w:sz="4" w:space="0" w:color="000000"/>
              <w:left w:val="single" w:sz="4" w:space="0" w:color="000000"/>
              <w:bottom w:val="single" w:sz="4" w:space="0" w:color="000000"/>
              <w:right w:val="single" w:sz="4" w:space="0" w:color="000000"/>
            </w:tcBorders>
            <w:vAlign w:val="center"/>
          </w:tcPr>
          <w:p w:rsidR="00C2492E" w:rsidRDefault="00C2492E" w:rsidP="001D131F">
            <w:pPr>
              <w:ind w:left="58"/>
            </w:pPr>
            <w:r>
              <w:rPr>
                <w:rFonts w:ascii="Times New Roman" w:hAnsi="Times New Roman"/>
                <w:sz w:val="20"/>
              </w:rPr>
              <w:t xml:space="preserve">0.05 mg/kg </w:t>
            </w:r>
            <w:proofErr w:type="spellStart"/>
            <w:r>
              <w:rPr>
                <w:rFonts w:ascii="Times New Roman" w:hAnsi="Times New Roman"/>
                <w:sz w:val="20"/>
              </w:rPr>
              <w:t>bw</w:t>
            </w:r>
            <w:proofErr w:type="spellEnd"/>
            <w:r>
              <w:rPr>
                <w:rFonts w:ascii="Times New Roman" w:hAnsi="Times New Roman"/>
                <w:sz w:val="20"/>
              </w:rPr>
              <w:t xml:space="preserve">/d  </w:t>
            </w:r>
          </w:p>
        </w:tc>
        <w:tc>
          <w:tcPr>
            <w:tcW w:w="2545" w:type="dxa"/>
            <w:tcBorders>
              <w:top w:val="single" w:sz="4" w:space="0" w:color="000000"/>
              <w:left w:val="single" w:sz="4" w:space="0" w:color="000000"/>
              <w:bottom w:val="single" w:sz="4" w:space="0" w:color="000000"/>
              <w:right w:val="single" w:sz="4" w:space="0" w:color="000000"/>
            </w:tcBorders>
            <w:vAlign w:val="center"/>
          </w:tcPr>
          <w:p w:rsidR="00C2492E" w:rsidRDefault="00C2492E" w:rsidP="001D131F">
            <w:pPr>
              <w:ind w:left="60"/>
            </w:pPr>
            <w:r>
              <w:rPr>
                <w:rFonts w:ascii="Times New Roman" w:hAnsi="Times New Roman"/>
                <w:sz w:val="20"/>
              </w:rPr>
              <w:t xml:space="preserve">0.13 mg/kg </w:t>
            </w:r>
            <w:proofErr w:type="spellStart"/>
            <w:r>
              <w:rPr>
                <w:rFonts w:ascii="Times New Roman" w:hAnsi="Times New Roman"/>
                <w:sz w:val="20"/>
              </w:rPr>
              <w:t>bw</w:t>
            </w:r>
            <w:proofErr w:type="spellEnd"/>
            <w:r>
              <w:rPr>
                <w:rFonts w:ascii="Times New Roman" w:hAnsi="Times New Roman"/>
                <w:sz w:val="20"/>
              </w:rPr>
              <w:t xml:space="preserve">/d  </w:t>
            </w:r>
          </w:p>
        </w:tc>
        <w:tc>
          <w:tcPr>
            <w:tcW w:w="25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492E" w:rsidRPr="00C2492E" w:rsidRDefault="00C2492E" w:rsidP="00C2492E">
            <w:r w:rsidRPr="00C2492E">
              <w:rPr>
                <w:rFonts w:ascii="Times New Roman" w:hAnsi="Times New Roman"/>
                <w:sz w:val="20"/>
              </w:rPr>
              <w:t xml:space="preserve"> 0.1 mg/kg </w:t>
            </w:r>
            <w:proofErr w:type="spellStart"/>
            <w:r w:rsidRPr="00C2492E">
              <w:rPr>
                <w:rFonts w:ascii="Times New Roman" w:hAnsi="Times New Roman"/>
                <w:sz w:val="20"/>
              </w:rPr>
              <w:t>bw</w:t>
            </w:r>
            <w:proofErr w:type="spellEnd"/>
            <w:r w:rsidRPr="00C2492E">
              <w:rPr>
                <w:rFonts w:ascii="Times New Roman" w:hAnsi="Times New Roman"/>
                <w:sz w:val="20"/>
              </w:rPr>
              <w:t xml:space="preserve">/d  </w:t>
            </w:r>
          </w:p>
        </w:tc>
      </w:tr>
      <w:tr w:rsidR="00C2492E" w:rsidTr="00842228">
        <w:trPr>
          <w:trHeight w:val="295"/>
        </w:trPr>
        <w:tc>
          <w:tcPr>
            <w:tcW w:w="2221" w:type="dxa"/>
            <w:tcBorders>
              <w:top w:val="single" w:sz="4" w:space="0" w:color="000000"/>
              <w:left w:val="single" w:sz="4" w:space="0" w:color="000000"/>
              <w:bottom w:val="single" w:sz="4" w:space="0" w:color="000000"/>
              <w:right w:val="single" w:sz="4" w:space="0" w:color="000000"/>
            </w:tcBorders>
          </w:tcPr>
          <w:p w:rsidR="00C2492E" w:rsidRDefault="00C2492E" w:rsidP="001D131F">
            <w:pPr>
              <w:ind w:left="58"/>
            </w:pPr>
            <w:r>
              <w:rPr>
                <w:rFonts w:ascii="Times New Roman" w:hAnsi="Times New Roman"/>
                <w:b/>
                <w:sz w:val="20"/>
              </w:rPr>
              <w:t>Inhalation absorption</w:t>
            </w:r>
            <w:r>
              <w:rPr>
                <w:rFonts w:ascii="Times New Roman" w:hAnsi="Times New Roman"/>
                <w:sz w:val="20"/>
              </w:rPr>
              <w:t xml:space="preserve"> </w:t>
            </w:r>
          </w:p>
        </w:tc>
        <w:tc>
          <w:tcPr>
            <w:tcW w:w="2177" w:type="dxa"/>
            <w:tcBorders>
              <w:top w:val="single" w:sz="4" w:space="0" w:color="000000"/>
              <w:left w:val="single" w:sz="4" w:space="0" w:color="000000"/>
              <w:bottom w:val="single" w:sz="4" w:space="0" w:color="000000"/>
              <w:right w:val="single" w:sz="4" w:space="0" w:color="000000"/>
            </w:tcBorders>
          </w:tcPr>
          <w:p w:rsidR="00C2492E" w:rsidRDefault="00C2492E" w:rsidP="001D131F">
            <w:pPr>
              <w:ind w:left="58"/>
            </w:pPr>
            <w:r>
              <w:rPr>
                <w:rFonts w:ascii="Times New Roman" w:hAnsi="Times New Roman"/>
                <w:sz w:val="20"/>
              </w:rPr>
              <w:t xml:space="preserve">100% </w:t>
            </w:r>
          </w:p>
        </w:tc>
        <w:tc>
          <w:tcPr>
            <w:tcW w:w="2545" w:type="dxa"/>
            <w:tcBorders>
              <w:top w:val="single" w:sz="4" w:space="0" w:color="000000"/>
              <w:left w:val="single" w:sz="4" w:space="0" w:color="000000"/>
              <w:bottom w:val="single" w:sz="4" w:space="0" w:color="000000"/>
              <w:right w:val="single" w:sz="4" w:space="0" w:color="000000"/>
            </w:tcBorders>
          </w:tcPr>
          <w:p w:rsidR="00C2492E" w:rsidRDefault="00C2492E" w:rsidP="001D131F">
            <w:pPr>
              <w:ind w:left="60"/>
            </w:pPr>
            <w:r>
              <w:rPr>
                <w:rFonts w:ascii="Times New Roman" w:hAnsi="Times New Roman"/>
                <w:sz w:val="20"/>
              </w:rPr>
              <w:t xml:space="preserve">100% </w:t>
            </w:r>
          </w:p>
        </w:tc>
        <w:tc>
          <w:tcPr>
            <w:tcW w:w="541" w:type="dxa"/>
            <w:tcBorders>
              <w:top w:val="single" w:sz="4" w:space="0" w:color="000000"/>
              <w:left w:val="single" w:sz="4" w:space="0" w:color="000000"/>
              <w:bottom w:val="single" w:sz="4" w:space="0" w:color="000000"/>
              <w:right w:val="nil"/>
            </w:tcBorders>
            <w:shd w:val="clear" w:color="auto" w:fill="auto"/>
          </w:tcPr>
          <w:p w:rsidR="00C2492E" w:rsidRPr="00C2492E" w:rsidRDefault="00C2492E" w:rsidP="001D131F">
            <w:pPr>
              <w:ind w:left="30" w:right="-2"/>
              <w:jc w:val="both"/>
            </w:pPr>
            <w:r w:rsidRPr="00C2492E">
              <w:rPr>
                <w:rFonts w:ascii="Times New Roman" w:hAnsi="Times New Roman"/>
                <w:sz w:val="20"/>
              </w:rPr>
              <w:t>100%</w:t>
            </w:r>
          </w:p>
        </w:tc>
        <w:tc>
          <w:tcPr>
            <w:tcW w:w="1991" w:type="dxa"/>
            <w:gridSpan w:val="2"/>
            <w:tcBorders>
              <w:top w:val="single" w:sz="4" w:space="0" w:color="000000"/>
              <w:left w:val="nil"/>
              <w:bottom w:val="single" w:sz="4" w:space="0" w:color="000000"/>
              <w:right w:val="single" w:sz="4" w:space="0" w:color="000000"/>
            </w:tcBorders>
            <w:shd w:val="clear" w:color="auto" w:fill="auto"/>
          </w:tcPr>
          <w:p w:rsidR="00C2492E" w:rsidRPr="00C2492E" w:rsidRDefault="00C2492E" w:rsidP="001D131F">
            <w:r w:rsidRPr="00C2492E">
              <w:rPr>
                <w:rFonts w:ascii="Times New Roman" w:hAnsi="Times New Roman"/>
                <w:sz w:val="20"/>
              </w:rPr>
              <w:t xml:space="preserve"> </w:t>
            </w:r>
          </w:p>
        </w:tc>
      </w:tr>
      <w:tr w:rsidR="00842228" w:rsidTr="00842228">
        <w:trPr>
          <w:trHeight w:val="832"/>
        </w:trPr>
        <w:tc>
          <w:tcPr>
            <w:tcW w:w="2221"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pPr>
            <w:r>
              <w:rPr>
                <w:rFonts w:ascii="Times New Roman" w:hAnsi="Times New Roman"/>
                <w:b/>
                <w:sz w:val="20"/>
              </w:rPr>
              <w:t>Oral absorption</w:t>
            </w:r>
            <w:r>
              <w:rPr>
                <w:rFonts w:ascii="Times New Roman" w:hAnsi="Times New Roman"/>
                <w:sz w:val="20"/>
              </w:rPr>
              <w:t xml:space="preserve"> </w:t>
            </w:r>
          </w:p>
        </w:tc>
        <w:tc>
          <w:tcPr>
            <w:tcW w:w="2177"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58"/>
            </w:pPr>
            <w:r>
              <w:rPr>
                <w:rFonts w:ascii="Times New Roman" w:hAnsi="Times New Roman"/>
                <w:sz w:val="20"/>
              </w:rPr>
              <w:t xml:space="preserve">70% </w:t>
            </w:r>
          </w:p>
        </w:tc>
        <w:tc>
          <w:tcPr>
            <w:tcW w:w="2545" w:type="dxa"/>
            <w:tcBorders>
              <w:top w:val="single" w:sz="4" w:space="0" w:color="000000"/>
              <w:left w:val="single" w:sz="4" w:space="0" w:color="000000"/>
              <w:bottom w:val="single" w:sz="4" w:space="0" w:color="000000"/>
              <w:right w:val="single" w:sz="4" w:space="0" w:color="000000"/>
            </w:tcBorders>
          </w:tcPr>
          <w:p w:rsidR="00842228" w:rsidRDefault="00842228" w:rsidP="001D131F">
            <w:pPr>
              <w:ind w:left="60"/>
            </w:pPr>
            <w:r>
              <w:rPr>
                <w:rFonts w:ascii="Times New Roman" w:hAnsi="Times New Roman"/>
                <w:sz w:val="20"/>
              </w:rPr>
              <w:t xml:space="preserve">2% </w:t>
            </w:r>
          </w:p>
        </w:tc>
        <w:tc>
          <w:tcPr>
            <w:tcW w:w="2532" w:type="dxa"/>
            <w:gridSpan w:val="3"/>
            <w:tcBorders>
              <w:top w:val="single" w:sz="4" w:space="0" w:color="000000"/>
              <w:left w:val="single" w:sz="4" w:space="0" w:color="000000"/>
              <w:bottom w:val="single" w:sz="4" w:space="0" w:color="000000"/>
              <w:right w:val="single" w:sz="4" w:space="0" w:color="000000"/>
            </w:tcBorders>
            <w:shd w:val="clear" w:color="auto" w:fill="auto"/>
          </w:tcPr>
          <w:p w:rsidR="00842228" w:rsidRPr="00C2492E" w:rsidRDefault="00842228" w:rsidP="001D131F">
            <w:r w:rsidRPr="00C2492E">
              <w:rPr>
                <w:rFonts w:ascii="Times New Roman" w:hAnsi="Times New Roman"/>
                <w:sz w:val="20"/>
              </w:rPr>
              <w:t>73%</w:t>
            </w:r>
          </w:p>
        </w:tc>
      </w:tr>
      <w:tr w:rsidR="00842228" w:rsidTr="00842228">
        <w:trPr>
          <w:trHeight w:val="832"/>
        </w:trPr>
        <w:tc>
          <w:tcPr>
            <w:tcW w:w="2221" w:type="dxa"/>
            <w:tcBorders>
              <w:top w:val="single" w:sz="4" w:space="0" w:color="000000"/>
              <w:left w:val="single" w:sz="4" w:space="0" w:color="000000"/>
              <w:bottom w:val="single" w:sz="4" w:space="0" w:color="000000"/>
              <w:right w:val="single" w:sz="4" w:space="0" w:color="000000"/>
            </w:tcBorders>
          </w:tcPr>
          <w:p w:rsidR="00842228" w:rsidRPr="00842228" w:rsidRDefault="00842228" w:rsidP="00842228">
            <w:pPr>
              <w:ind w:left="58"/>
              <w:rPr>
                <w:rFonts w:ascii="Times New Roman" w:hAnsi="Times New Roman"/>
                <w:b/>
                <w:bCs/>
                <w:sz w:val="20"/>
                <w:szCs w:val="20"/>
              </w:rPr>
            </w:pPr>
            <w:r w:rsidRPr="00842228">
              <w:rPr>
                <w:rFonts w:ascii="Times New Roman" w:hAnsi="Times New Roman"/>
                <w:b/>
                <w:bCs/>
                <w:sz w:val="20"/>
                <w:szCs w:val="20"/>
              </w:rPr>
              <w:t>Dermal absorption</w:t>
            </w:r>
          </w:p>
        </w:tc>
        <w:tc>
          <w:tcPr>
            <w:tcW w:w="2177" w:type="dxa"/>
            <w:tcBorders>
              <w:top w:val="single" w:sz="4" w:space="0" w:color="000000"/>
              <w:left w:val="single" w:sz="4" w:space="0" w:color="000000"/>
              <w:bottom w:val="single" w:sz="4" w:space="0" w:color="000000"/>
              <w:right w:val="single" w:sz="4" w:space="0" w:color="000000"/>
            </w:tcBorders>
          </w:tcPr>
          <w:p w:rsidR="00842228" w:rsidRPr="00842228" w:rsidRDefault="00842228" w:rsidP="00842228">
            <w:pPr>
              <w:ind w:left="58"/>
              <w:rPr>
                <w:rFonts w:ascii="Times New Roman" w:hAnsi="Times New Roman"/>
                <w:sz w:val="20"/>
                <w:szCs w:val="20"/>
                <w:lang w:val="en-GB"/>
              </w:rPr>
            </w:pPr>
            <w:r w:rsidRPr="00842228">
              <w:rPr>
                <w:rFonts w:ascii="Times New Roman" w:hAnsi="Times New Roman"/>
                <w:sz w:val="20"/>
                <w:szCs w:val="20"/>
                <w:lang w:val="en-GB"/>
              </w:rPr>
              <w:t xml:space="preserve">Concentrate: 70% </w:t>
            </w:r>
            <w:r w:rsidRPr="00842228">
              <w:rPr>
                <w:rFonts w:ascii="Times New Roman" w:hAnsi="Times New Roman"/>
                <w:sz w:val="20"/>
                <w:szCs w:val="20"/>
              </w:rPr>
              <w:t>(&lt; 5% in formulation)</w:t>
            </w:r>
          </w:p>
          <w:p w:rsidR="00842228" w:rsidRPr="00842228" w:rsidRDefault="00842228" w:rsidP="00842228">
            <w:pPr>
              <w:ind w:left="58"/>
              <w:rPr>
                <w:rFonts w:ascii="Times New Roman" w:hAnsi="Times New Roman"/>
                <w:sz w:val="20"/>
                <w:szCs w:val="20"/>
              </w:rPr>
            </w:pPr>
            <w:r w:rsidRPr="00842228">
              <w:rPr>
                <w:rFonts w:ascii="Times New Roman" w:hAnsi="Times New Roman"/>
                <w:sz w:val="20"/>
                <w:szCs w:val="20"/>
              </w:rPr>
              <w:t>Dilution: 70%</w:t>
            </w:r>
          </w:p>
        </w:tc>
        <w:tc>
          <w:tcPr>
            <w:tcW w:w="2545" w:type="dxa"/>
            <w:tcBorders>
              <w:top w:val="single" w:sz="4" w:space="0" w:color="000000"/>
              <w:left w:val="single" w:sz="4" w:space="0" w:color="000000"/>
              <w:bottom w:val="single" w:sz="4" w:space="0" w:color="000000"/>
              <w:right w:val="single" w:sz="4" w:space="0" w:color="000000"/>
            </w:tcBorders>
          </w:tcPr>
          <w:p w:rsidR="00842228" w:rsidRPr="00842228" w:rsidRDefault="00842228" w:rsidP="00842228">
            <w:pPr>
              <w:ind w:left="60"/>
              <w:rPr>
                <w:rFonts w:ascii="Times New Roman" w:hAnsi="Times New Roman"/>
                <w:sz w:val="20"/>
                <w:szCs w:val="20"/>
                <w:lang w:val="en-GB"/>
              </w:rPr>
            </w:pPr>
            <w:r w:rsidRPr="00842228">
              <w:rPr>
                <w:rFonts w:ascii="Times New Roman" w:hAnsi="Times New Roman"/>
                <w:sz w:val="20"/>
                <w:szCs w:val="20"/>
                <w:lang w:val="en-GB"/>
              </w:rPr>
              <w:t xml:space="preserve">Concentrate: 70% </w:t>
            </w:r>
            <w:r w:rsidRPr="00842228">
              <w:rPr>
                <w:rFonts w:ascii="Times New Roman" w:hAnsi="Times New Roman"/>
                <w:sz w:val="20"/>
                <w:szCs w:val="20"/>
              </w:rPr>
              <w:t>(&lt; 5% in formulation)</w:t>
            </w:r>
          </w:p>
          <w:p w:rsidR="00842228" w:rsidRPr="00842228" w:rsidRDefault="00842228" w:rsidP="00842228">
            <w:pPr>
              <w:ind w:left="60"/>
              <w:rPr>
                <w:rFonts w:ascii="Times New Roman" w:hAnsi="Times New Roman"/>
                <w:sz w:val="20"/>
                <w:szCs w:val="20"/>
              </w:rPr>
            </w:pPr>
            <w:r w:rsidRPr="00842228">
              <w:rPr>
                <w:rFonts w:ascii="Times New Roman" w:hAnsi="Times New Roman"/>
                <w:sz w:val="20"/>
                <w:szCs w:val="20"/>
              </w:rPr>
              <w:t>Dilution: 70%</w:t>
            </w:r>
          </w:p>
        </w:tc>
        <w:tc>
          <w:tcPr>
            <w:tcW w:w="2532" w:type="dxa"/>
            <w:gridSpan w:val="3"/>
            <w:tcBorders>
              <w:top w:val="single" w:sz="4" w:space="0" w:color="000000"/>
              <w:left w:val="single" w:sz="4" w:space="0" w:color="000000"/>
              <w:bottom w:val="single" w:sz="4" w:space="0" w:color="auto"/>
              <w:right w:val="single" w:sz="4" w:space="0" w:color="000000"/>
            </w:tcBorders>
            <w:shd w:val="clear" w:color="auto" w:fill="auto"/>
          </w:tcPr>
          <w:p w:rsidR="00842228" w:rsidRPr="00842228" w:rsidRDefault="00842228" w:rsidP="00842228">
            <w:pPr>
              <w:rPr>
                <w:rFonts w:ascii="Times New Roman" w:hAnsi="Times New Roman"/>
                <w:sz w:val="20"/>
                <w:szCs w:val="20"/>
                <w:lang w:val="en-GB"/>
              </w:rPr>
            </w:pPr>
            <w:r w:rsidRPr="00842228">
              <w:rPr>
                <w:rFonts w:ascii="Times New Roman" w:hAnsi="Times New Roman"/>
                <w:sz w:val="20"/>
                <w:szCs w:val="20"/>
                <w:lang w:val="en-GB"/>
              </w:rPr>
              <w:t xml:space="preserve">Concentrate: 70% </w:t>
            </w:r>
            <w:r w:rsidRPr="00842228">
              <w:rPr>
                <w:rFonts w:ascii="Times New Roman" w:hAnsi="Times New Roman"/>
                <w:sz w:val="20"/>
                <w:szCs w:val="20"/>
              </w:rPr>
              <w:t>(&lt; 5% in formulation)</w:t>
            </w:r>
          </w:p>
          <w:p w:rsidR="00842228" w:rsidRPr="00842228" w:rsidRDefault="00842228" w:rsidP="00842228">
            <w:pPr>
              <w:rPr>
                <w:rFonts w:ascii="Times New Roman" w:hAnsi="Times New Roman"/>
                <w:sz w:val="20"/>
                <w:szCs w:val="20"/>
              </w:rPr>
            </w:pPr>
            <w:r w:rsidRPr="00842228">
              <w:rPr>
                <w:rFonts w:ascii="Times New Roman" w:hAnsi="Times New Roman"/>
                <w:sz w:val="20"/>
                <w:szCs w:val="20"/>
              </w:rPr>
              <w:t>Dilution: 70%</w:t>
            </w:r>
          </w:p>
        </w:tc>
      </w:tr>
    </w:tbl>
    <w:p w:rsidR="00127097" w:rsidRPr="00127097" w:rsidRDefault="00127097" w:rsidP="00127097">
      <w:pPr>
        <w:pStyle w:val="Nagwek3"/>
        <w:keepLines/>
        <w:widowControl/>
        <w:tabs>
          <w:tab w:val="clear" w:pos="1417"/>
        </w:tabs>
        <w:suppressAutoHyphens w:val="0"/>
        <w:spacing w:after="210" w:line="249" w:lineRule="auto"/>
        <w:ind w:left="1408" w:hanging="1416"/>
        <w:jc w:val="left"/>
        <w:rPr>
          <w:rFonts w:cs="Times New Roman"/>
          <w:bCs w:val="0"/>
          <w:color w:val="000000"/>
          <w:kern w:val="2"/>
          <w:sz w:val="22"/>
          <w:szCs w:val="22"/>
          <w:lang w:val="en-IE" w:eastAsia="en-IE"/>
        </w:rPr>
      </w:pPr>
      <w:r>
        <w:t xml:space="preserve"> </w:t>
      </w:r>
      <w:bookmarkStart w:id="221" w:name="_Toc179811298"/>
      <w:bookmarkStart w:id="222" w:name="_Toc226889"/>
      <w:r w:rsidRPr="00127097">
        <w:rPr>
          <w:rFonts w:cs="Times New Roman"/>
          <w:bCs w:val="0"/>
          <w:color w:val="000000"/>
          <w:kern w:val="2"/>
          <w:szCs w:val="22"/>
          <w:lang w:val="en-IE" w:eastAsia="en-IE"/>
        </w:rPr>
        <w:t>Selection of critical use(s) and justification</w:t>
      </w:r>
      <w:bookmarkEnd w:id="221"/>
      <w:r w:rsidRPr="00127097">
        <w:rPr>
          <w:rFonts w:cs="Times New Roman"/>
          <w:bCs w:val="0"/>
          <w:color w:val="000000"/>
          <w:kern w:val="2"/>
          <w:szCs w:val="22"/>
          <w:lang w:val="en-IE" w:eastAsia="en-IE"/>
        </w:rPr>
        <w:t xml:space="preserve"> </w:t>
      </w:r>
      <w:bookmarkEnd w:id="222"/>
    </w:p>
    <w:p w:rsidR="00127097" w:rsidRPr="00127097" w:rsidRDefault="00127097" w:rsidP="00127097">
      <w:pPr>
        <w:spacing w:line="248" w:lineRule="auto"/>
        <w:ind w:left="2" w:hanging="10"/>
        <w:rPr>
          <w:rFonts w:ascii="Calibri" w:eastAsia="Calibri" w:hAnsi="Calibri" w:cs="Calibri"/>
          <w:color w:val="000000"/>
          <w:kern w:val="2"/>
          <w:lang w:val="en-IE" w:eastAsia="en-IE"/>
        </w:rPr>
      </w:pPr>
      <w:r w:rsidRPr="00127097">
        <w:rPr>
          <w:color w:val="000000"/>
          <w:kern w:val="2"/>
          <w:lang w:val="en-IE" w:eastAsia="en-IE"/>
        </w:rPr>
        <w:t xml:space="preserve">The critical GAP(s) used for the exposure assessment of the plant protection product are shown in Table 6.1-4. A list of all intended uses within the zone/ EU is given in Part B, Section 0.  </w:t>
      </w:r>
    </w:p>
    <w:p w:rsidR="00444551" w:rsidRDefault="00444551" w:rsidP="00444551">
      <w:pPr>
        <w:pStyle w:val="Nagwek3"/>
      </w:pPr>
      <w:bookmarkStart w:id="223" w:name="_Toc138229964"/>
      <w:bookmarkStart w:id="224" w:name="_Toc179811299"/>
      <w:r w:rsidRPr="00B32849">
        <w:t>Operator exposure (KCP 7.2.1)</w:t>
      </w:r>
      <w:bookmarkEnd w:id="223"/>
      <w:bookmarkEnd w:id="224"/>
    </w:p>
    <w:p w:rsidR="00982B71" w:rsidRDefault="00982B71" w:rsidP="00217B1C">
      <w:pPr>
        <w:pStyle w:val="RepStandard"/>
      </w:pPr>
    </w:p>
    <w:p w:rsidR="00444551" w:rsidRPr="00444551" w:rsidRDefault="00444551" w:rsidP="00444551">
      <w:pPr>
        <w:spacing w:after="37" w:line="244" w:lineRule="auto"/>
        <w:ind w:left="-5" w:hanging="10"/>
        <w:jc w:val="both"/>
        <w:rPr>
          <w:rFonts w:ascii="Calibri" w:eastAsia="Calibri" w:hAnsi="Calibri" w:cs="Calibri"/>
          <w:color w:val="000000"/>
          <w:kern w:val="2"/>
          <w:lang w:val="en-IE" w:eastAsia="en-IE"/>
        </w:rPr>
      </w:pPr>
      <w:r w:rsidRPr="00444551">
        <w:rPr>
          <w:color w:val="000000"/>
          <w:kern w:val="2"/>
          <w:lang w:val="en-IE" w:eastAsia="en-IE"/>
        </w:rPr>
        <w:t>No acute non-dietary risk assessment is included in this submission. Lack of scientific guidance or methodology is an acceptable reason for waiving according to Guidance of the European Commission</w:t>
      </w:r>
      <w:r w:rsidRPr="00444551">
        <w:rPr>
          <w:color w:val="000000"/>
          <w:kern w:val="2"/>
          <w:vertAlign w:val="superscript"/>
          <w:lang w:val="en-IE" w:eastAsia="en-IE"/>
        </w:rPr>
        <w:footnoteReference w:id="2"/>
      </w:r>
      <w:r w:rsidRPr="00444551">
        <w:rPr>
          <w:color w:val="000000"/>
          <w:kern w:val="2"/>
          <w:lang w:val="en-IE" w:eastAsia="en-IE"/>
        </w:rPr>
        <w:t xml:space="preserve">. The absence of such guidance on derivation of an appropriate reference dose (“AAOEL”) was recognized by </w:t>
      </w:r>
    </w:p>
    <w:p w:rsidR="00444551" w:rsidRPr="00444551" w:rsidRDefault="00444551" w:rsidP="00444551">
      <w:pPr>
        <w:numPr>
          <w:ilvl w:val="0"/>
          <w:numId w:val="22"/>
        </w:numPr>
        <w:spacing w:after="18" w:line="259" w:lineRule="auto"/>
        <w:ind w:hanging="360"/>
        <w:rPr>
          <w:rFonts w:eastAsia="Calibri"/>
          <w:color w:val="000000"/>
          <w:kern w:val="2"/>
          <w:lang w:val="en-IE" w:eastAsia="en-IE"/>
        </w:rPr>
      </w:pPr>
      <w:r w:rsidRPr="00444551">
        <w:rPr>
          <w:rFonts w:eastAsia="Calibri"/>
          <w:color w:val="000000"/>
          <w:kern w:val="2"/>
          <w:lang w:val="en-IE" w:eastAsia="en-IE"/>
        </w:rPr>
        <w:t>the European Food Safety Authority</w:t>
      </w:r>
      <w:r w:rsidRPr="00444551">
        <w:rPr>
          <w:rFonts w:eastAsia="Calibri"/>
          <w:color w:val="000000"/>
          <w:kern w:val="2"/>
          <w:vertAlign w:val="superscript"/>
          <w:lang w:val="en-IE" w:eastAsia="en-IE"/>
        </w:rPr>
        <w:footnoteReference w:id="3"/>
      </w:r>
      <w:r w:rsidRPr="00444551">
        <w:rPr>
          <w:rFonts w:eastAsia="Calibri"/>
          <w:color w:val="000000"/>
          <w:kern w:val="2"/>
          <w:lang w:val="en-IE" w:eastAsia="en-IE"/>
        </w:rPr>
        <w:t xml:space="preserve">, and  </w:t>
      </w:r>
    </w:p>
    <w:p w:rsidR="00444551" w:rsidRPr="00444551" w:rsidRDefault="00444551" w:rsidP="00444551">
      <w:pPr>
        <w:numPr>
          <w:ilvl w:val="0"/>
          <w:numId w:val="22"/>
        </w:numPr>
        <w:spacing w:after="140" w:line="259" w:lineRule="auto"/>
        <w:ind w:hanging="360"/>
        <w:rPr>
          <w:rFonts w:eastAsia="Calibri"/>
          <w:color w:val="000000"/>
          <w:kern w:val="2"/>
          <w:lang w:val="en-IE" w:eastAsia="en-IE"/>
        </w:rPr>
      </w:pPr>
      <w:r w:rsidRPr="00444551">
        <w:rPr>
          <w:rFonts w:eastAsia="Calibri"/>
          <w:color w:val="000000"/>
          <w:kern w:val="2"/>
          <w:lang w:val="en-IE" w:eastAsia="en-IE"/>
        </w:rPr>
        <w:t>the European Commission Standing Committee</w:t>
      </w:r>
      <w:r w:rsidRPr="00444551">
        <w:rPr>
          <w:rFonts w:eastAsia="Calibri"/>
          <w:color w:val="000000"/>
          <w:kern w:val="2"/>
          <w:vertAlign w:val="superscript"/>
          <w:lang w:val="en-IE" w:eastAsia="en-IE"/>
        </w:rPr>
        <w:footnoteReference w:id="4"/>
      </w:r>
      <w:r w:rsidRPr="00444551">
        <w:rPr>
          <w:rFonts w:eastAsia="Calibri"/>
          <w:color w:val="000000"/>
          <w:kern w:val="2"/>
          <w:lang w:val="en-IE" w:eastAsia="en-IE"/>
        </w:rPr>
        <w:t xml:space="preserve">.  </w:t>
      </w:r>
    </w:p>
    <w:p w:rsidR="00444551" w:rsidRPr="00444551" w:rsidRDefault="00444551" w:rsidP="00444551">
      <w:pPr>
        <w:spacing w:after="10" w:line="248" w:lineRule="auto"/>
        <w:ind w:left="2" w:hanging="10"/>
        <w:rPr>
          <w:rFonts w:ascii="Calibri" w:eastAsia="Calibri" w:hAnsi="Calibri" w:cs="Calibri"/>
          <w:color w:val="000000"/>
          <w:kern w:val="2"/>
          <w:lang w:val="en-IE" w:eastAsia="en-IE"/>
        </w:rPr>
      </w:pPr>
      <w:r w:rsidRPr="00444551">
        <w:rPr>
          <w:color w:val="000000"/>
          <w:kern w:val="2"/>
          <w:lang w:val="en-IE" w:eastAsia="en-IE"/>
        </w:rPr>
        <w:t>Therefore, this waiver is presented in line with the Guidance of the European Commission.</w:t>
      </w:r>
      <w:r>
        <w:rPr>
          <w:color w:val="000000"/>
          <w:kern w:val="2"/>
          <w:lang w:val="en-IE" w:eastAsia="en-IE"/>
        </w:rPr>
        <w:t xml:space="preserve"> </w:t>
      </w:r>
      <w:r w:rsidRPr="00444551">
        <w:rPr>
          <w:color w:val="000000"/>
          <w:kern w:val="2"/>
          <w:lang w:val="en-IE" w:eastAsia="en-IE"/>
        </w:rPr>
        <w:t xml:space="preserve">This applies for the same degree with regard to acute operator exposure estimates.  </w:t>
      </w:r>
    </w:p>
    <w:p w:rsidR="00444551" w:rsidRDefault="00444551" w:rsidP="00217B1C">
      <w:pPr>
        <w:pStyle w:val="RepStandard"/>
      </w:pPr>
    </w:p>
    <w:p w:rsidR="00444551" w:rsidRPr="00444551" w:rsidRDefault="00444551" w:rsidP="00444551">
      <w:pPr>
        <w:pStyle w:val="RepStandard"/>
        <w:numPr>
          <w:ilvl w:val="3"/>
          <w:numId w:val="3"/>
        </w:numPr>
        <w:rPr>
          <w:b/>
        </w:rPr>
      </w:pPr>
      <w:bookmarkStart w:id="225" w:name="_Toc328552160"/>
      <w:bookmarkStart w:id="226" w:name="_Toc332020603"/>
      <w:bookmarkStart w:id="227" w:name="_Toc332203446"/>
      <w:bookmarkStart w:id="228" w:name="_Toc332206998"/>
      <w:bookmarkStart w:id="229" w:name="_Toc332296167"/>
      <w:bookmarkStart w:id="230" w:name="_Toc336434734"/>
      <w:bookmarkStart w:id="231" w:name="_Toc397516885"/>
      <w:bookmarkStart w:id="232" w:name="_Toc398627865"/>
      <w:bookmarkStart w:id="233" w:name="_Toc399335720"/>
      <w:bookmarkStart w:id="234" w:name="_Toc399764860"/>
      <w:bookmarkStart w:id="235" w:name="_Toc412562652"/>
      <w:bookmarkStart w:id="236" w:name="_Toc412562729"/>
      <w:bookmarkStart w:id="237" w:name="_Toc413662721"/>
      <w:bookmarkStart w:id="238" w:name="_Toc413673578"/>
      <w:bookmarkStart w:id="239" w:name="_Toc413673676"/>
      <w:bookmarkStart w:id="240" w:name="_Toc413673747"/>
      <w:bookmarkStart w:id="241" w:name="_Toc413928646"/>
      <w:bookmarkStart w:id="242" w:name="_Toc413936260"/>
      <w:bookmarkStart w:id="243" w:name="_Toc413937971"/>
      <w:bookmarkStart w:id="244" w:name="_Toc414026698"/>
      <w:bookmarkStart w:id="245" w:name="_Toc414974077"/>
      <w:bookmarkStart w:id="246" w:name="_Toc450900951"/>
      <w:bookmarkStart w:id="247" w:name="_Toc450920617"/>
      <w:bookmarkStart w:id="248" w:name="_Toc450923738"/>
      <w:bookmarkStart w:id="249" w:name="_Toc454460971"/>
      <w:bookmarkStart w:id="250" w:name="_Toc454462807"/>
      <w:bookmarkStart w:id="251" w:name="_Toc138229965"/>
      <w:r w:rsidRPr="00444551">
        <w:rPr>
          <w:b/>
        </w:rPr>
        <w:t>Estimation of operator exposure</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444551" w:rsidRDefault="00444551" w:rsidP="00217B1C">
      <w:pPr>
        <w:pStyle w:val="RepStandard"/>
      </w:pPr>
    </w:p>
    <w:p w:rsidR="005E4E02" w:rsidRPr="00AC654D" w:rsidRDefault="005E4E02" w:rsidP="005E4E02">
      <w:pPr>
        <w:spacing w:after="241" w:line="244" w:lineRule="auto"/>
        <w:ind w:left="-5" w:hanging="10"/>
        <w:jc w:val="both"/>
        <w:rPr>
          <w:rFonts w:eastAsia="Calibri"/>
        </w:rPr>
      </w:pPr>
      <w:r w:rsidRPr="005E4E02">
        <w:rPr>
          <w:color w:val="000000"/>
          <w:kern w:val="2"/>
          <w:lang w:val="en-IE" w:eastAsia="en-IE"/>
        </w:rPr>
        <w:t xml:space="preserve">A summary of the exposure models used for the estimation of operator exposure to the active substance(s) during application of </w:t>
      </w:r>
      <w:r w:rsidRPr="000318A3">
        <w:t>054-01-05</w:t>
      </w:r>
      <w:r w:rsidRPr="005E4E02">
        <w:rPr>
          <w:color w:val="000000"/>
          <w:kern w:val="2"/>
          <w:lang w:val="en-IE" w:eastAsia="en-IE"/>
        </w:rPr>
        <w:t xml:space="preserve"> according to the critical use(s) is presented in the following table</w:t>
      </w:r>
      <w:r w:rsidRPr="00AC654D">
        <w:rPr>
          <w:color w:val="000000"/>
          <w:kern w:val="2"/>
          <w:lang w:val="en-IE" w:eastAsia="en-IE"/>
        </w:rPr>
        <w:t xml:space="preserve">. </w:t>
      </w:r>
      <w:r w:rsidRPr="00AC654D">
        <w:t xml:space="preserve">Detailed calculations are presented in Appendix 3. </w:t>
      </w:r>
    </w:p>
    <w:p w:rsidR="005E4E02" w:rsidRPr="005E4E02" w:rsidRDefault="005E4E02" w:rsidP="005E4E02">
      <w:pPr>
        <w:rPr>
          <w:b/>
          <w:bCs/>
          <w:lang w:val="en-GB"/>
        </w:rPr>
      </w:pPr>
      <w:bookmarkStart w:id="252" w:name="_Ref413931167"/>
      <w:r w:rsidRPr="005E4E02">
        <w:rPr>
          <w:b/>
          <w:bCs/>
          <w:lang w:val="en-GB"/>
        </w:rPr>
        <w:lastRenderedPageBreak/>
        <w:t>Table </w:t>
      </w:r>
      <w:r w:rsidR="00772379" w:rsidRPr="00772379">
        <w:rPr>
          <w:b/>
          <w:bCs/>
          <w:lang w:val="en-GB"/>
        </w:rPr>
        <w:fldChar w:fldCharType="begin"/>
      </w:r>
      <w:r w:rsidRPr="005E4E02">
        <w:rPr>
          <w:b/>
          <w:bCs/>
          <w:lang w:val="en-GB"/>
        </w:rPr>
        <w:instrText xml:space="preserve"> STYLEREF 2 \s </w:instrText>
      </w:r>
      <w:r w:rsidR="00772379" w:rsidRPr="00772379">
        <w:rPr>
          <w:b/>
          <w:bCs/>
          <w:lang w:val="en-GB"/>
        </w:rPr>
        <w:fldChar w:fldCharType="separate"/>
      </w:r>
      <w:r w:rsidRPr="005E4E02">
        <w:rPr>
          <w:b/>
          <w:bCs/>
          <w:lang w:val="en-GB"/>
        </w:rPr>
        <w:t>6.6</w:t>
      </w:r>
      <w:r w:rsidR="00772379" w:rsidRPr="005E4E02">
        <w:fldChar w:fldCharType="end"/>
      </w:r>
      <w:r w:rsidRPr="005E4E02">
        <w:rPr>
          <w:b/>
          <w:bCs/>
          <w:lang w:val="en-GB"/>
        </w:rPr>
        <w:noBreakHyphen/>
      </w:r>
      <w:r w:rsidR="00772379" w:rsidRPr="00772379">
        <w:rPr>
          <w:b/>
          <w:bCs/>
          <w:lang w:val="en-GB"/>
        </w:rPr>
        <w:fldChar w:fldCharType="begin"/>
      </w:r>
      <w:r w:rsidRPr="005E4E02">
        <w:rPr>
          <w:b/>
          <w:bCs/>
          <w:lang w:val="en-GB"/>
        </w:rPr>
        <w:instrText xml:space="preserve"> SEQ Table \* ARABIC \s 2 </w:instrText>
      </w:r>
      <w:r w:rsidR="00772379" w:rsidRPr="00772379">
        <w:rPr>
          <w:b/>
          <w:bCs/>
          <w:lang w:val="en-GB"/>
        </w:rPr>
        <w:fldChar w:fldCharType="separate"/>
      </w:r>
      <w:r w:rsidR="003D1BAB">
        <w:rPr>
          <w:b/>
          <w:bCs/>
          <w:noProof/>
          <w:lang w:val="en-GB"/>
        </w:rPr>
        <w:t>2</w:t>
      </w:r>
      <w:r w:rsidR="00772379" w:rsidRPr="005E4E02">
        <w:fldChar w:fldCharType="end"/>
      </w:r>
      <w:bookmarkEnd w:id="252"/>
      <w:r w:rsidRPr="005E4E02">
        <w:rPr>
          <w:b/>
          <w:bCs/>
          <w:lang w:val="en-GB"/>
        </w:rPr>
        <w:t>:</w:t>
      </w:r>
      <w:r w:rsidRPr="005E4E02">
        <w:rPr>
          <w:b/>
          <w:bCs/>
          <w:lang w:val="en-GB"/>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313"/>
        <w:gridCol w:w="7159"/>
      </w:tblGrid>
      <w:tr w:rsidR="005E4E02" w:rsidRPr="005E4E02" w:rsidTr="001D131F">
        <w:tc>
          <w:tcPr>
            <w:tcW w:w="1221" w:type="pct"/>
          </w:tcPr>
          <w:p w:rsidR="005E4E02" w:rsidRPr="005E4E02" w:rsidRDefault="005E4E02" w:rsidP="005E4E02">
            <w:pPr>
              <w:rPr>
                <w:sz w:val="20"/>
                <w:szCs w:val="20"/>
                <w:lang w:val="en-GB"/>
              </w:rPr>
            </w:pPr>
            <w:r w:rsidRPr="005E4E02">
              <w:rPr>
                <w:sz w:val="20"/>
                <w:szCs w:val="20"/>
                <w:lang w:val="en-GB"/>
              </w:rPr>
              <w:t>Critical use(s)</w:t>
            </w:r>
          </w:p>
        </w:tc>
        <w:tc>
          <w:tcPr>
            <w:tcW w:w="3779" w:type="pct"/>
          </w:tcPr>
          <w:p w:rsidR="005E4E02" w:rsidRPr="005E4E02" w:rsidRDefault="005E4E02" w:rsidP="005E4E02">
            <w:pPr>
              <w:rPr>
                <w:sz w:val="20"/>
                <w:szCs w:val="20"/>
                <w:lang w:val="en-GB"/>
              </w:rPr>
            </w:pPr>
            <w:r w:rsidRPr="005E4E02">
              <w:rPr>
                <w:sz w:val="20"/>
                <w:szCs w:val="20"/>
                <w:lang w:val="en-GB"/>
              </w:rPr>
              <w:t xml:space="preserve">Field </w:t>
            </w:r>
            <w:r w:rsidRPr="0046191B">
              <w:rPr>
                <w:sz w:val="20"/>
                <w:szCs w:val="20"/>
                <w:lang w:val="en-GB"/>
              </w:rPr>
              <w:t>crops (max. 1 x 1.5 L product/ha)</w:t>
            </w:r>
          </w:p>
        </w:tc>
      </w:tr>
      <w:tr w:rsidR="005E4E02" w:rsidRPr="005E4E02" w:rsidTr="001D131F">
        <w:tc>
          <w:tcPr>
            <w:tcW w:w="1221" w:type="pct"/>
          </w:tcPr>
          <w:p w:rsidR="005E4E02" w:rsidRPr="005E4E02" w:rsidRDefault="005E4E02" w:rsidP="005E4E02">
            <w:pPr>
              <w:rPr>
                <w:sz w:val="20"/>
                <w:szCs w:val="20"/>
                <w:lang w:val="en-GB"/>
              </w:rPr>
            </w:pPr>
            <w:r w:rsidRPr="005E4E02">
              <w:rPr>
                <w:sz w:val="20"/>
                <w:szCs w:val="20"/>
                <w:lang w:val="en-GB"/>
              </w:rPr>
              <w:t>Model(s)</w:t>
            </w:r>
          </w:p>
        </w:tc>
        <w:tc>
          <w:tcPr>
            <w:tcW w:w="3779" w:type="pct"/>
          </w:tcPr>
          <w:p w:rsidR="005E4E02" w:rsidRPr="005E4E02" w:rsidRDefault="005E4E02" w:rsidP="005E4E02">
            <w:pPr>
              <w:rPr>
                <w:bCs/>
                <w:sz w:val="20"/>
                <w:szCs w:val="20"/>
                <w:lang w:val="en-GB"/>
              </w:rPr>
            </w:pPr>
            <w:bookmarkStart w:id="253" w:name="_Hlk150353259"/>
            <w:r w:rsidRPr="005E4E02">
              <w:rPr>
                <w:bCs/>
                <w:sz w:val="20"/>
                <w:szCs w:val="20"/>
                <w:lang w:val="en-GB"/>
              </w:rPr>
              <w:t>Guidance on the assessment of exposure of operators, workers, residents and bystanders in risk assessment for plant protection products; EFSA Journal 2022;20(1):7032</w:t>
            </w:r>
          </w:p>
          <w:p w:rsidR="005E4E02" w:rsidRPr="005E4E02" w:rsidRDefault="005E4E02" w:rsidP="005E4E02">
            <w:pPr>
              <w:rPr>
                <w:sz w:val="20"/>
                <w:szCs w:val="20"/>
                <w:lang w:val="en-GB"/>
              </w:rPr>
            </w:pPr>
            <w:bookmarkStart w:id="254" w:name="_Hlk150353306"/>
            <w:bookmarkEnd w:id="253"/>
            <w:r w:rsidRPr="005E4E02">
              <w:rPr>
                <w:sz w:val="20"/>
                <w:szCs w:val="20"/>
                <w:lang w:val="en-GB"/>
              </w:rPr>
              <w:t>calculator version: v 1.0.0</w:t>
            </w:r>
            <w:bookmarkEnd w:id="254"/>
          </w:p>
        </w:tc>
      </w:tr>
    </w:tbl>
    <w:p w:rsidR="008B5698" w:rsidRPr="008B5698" w:rsidRDefault="008B5698" w:rsidP="008C3F5C">
      <w:pPr>
        <w:pStyle w:val="RepLabel"/>
        <w:spacing w:before="240"/>
        <w:rPr>
          <w:b w:val="0"/>
          <w:bCs w:val="0"/>
        </w:rPr>
      </w:pPr>
      <w:r w:rsidRPr="008B5698">
        <w:rPr>
          <w:b w:val="0"/>
          <w:bCs w:val="0"/>
        </w:rPr>
        <w:t>The outcome of the estimation is presented in the following table(s).</w:t>
      </w:r>
    </w:p>
    <w:p w:rsidR="008C3F5C" w:rsidRPr="00B32849" w:rsidRDefault="008C3F5C" w:rsidP="008C3F5C">
      <w:pPr>
        <w:pStyle w:val="RepLabel"/>
        <w:spacing w:before="240"/>
      </w:pPr>
      <w:r>
        <w:t xml:space="preserve"> </w:t>
      </w:r>
      <w:bookmarkStart w:id="255" w:name="_Ref448297599"/>
      <w:bookmarkStart w:id="256" w:name="_Ref448297585"/>
      <w:bookmarkStart w:id="257" w:name="_Toc328552255"/>
      <w:bookmarkStart w:id="258" w:name="_Toc332020604"/>
      <w:bookmarkStart w:id="259" w:name="_Toc332203447"/>
      <w:bookmarkStart w:id="260" w:name="_Toc332206999"/>
      <w:bookmarkStart w:id="261" w:name="_Toc332296168"/>
      <w:bookmarkStart w:id="262" w:name="_Toc336434735"/>
      <w:bookmarkStart w:id="263" w:name="_Toc397516886"/>
      <w:bookmarkStart w:id="264" w:name="_Toc398627866"/>
      <w:bookmarkStart w:id="265" w:name="_Toc399335721"/>
      <w:bookmarkStart w:id="266" w:name="_Toc399764862"/>
      <w:bookmarkStart w:id="267" w:name="_Toc412562653"/>
      <w:bookmarkStart w:id="268" w:name="_Toc412562730"/>
      <w:bookmarkStart w:id="269" w:name="_Toc413662722"/>
      <w:bookmarkStart w:id="270" w:name="_Toc413673579"/>
      <w:bookmarkStart w:id="271" w:name="_Toc413673677"/>
      <w:bookmarkStart w:id="272" w:name="_Toc413673748"/>
      <w:bookmarkStart w:id="273" w:name="_Toc413928647"/>
      <w:bookmarkStart w:id="274" w:name="_Toc413936261"/>
      <w:bookmarkStart w:id="275" w:name="_Toc413937972"/>
      <w:bookmarkStart w:id="276" w:name="_Toc414026699"/>
      <w:bookmarkStart w:id="277" w:name="_Toc414974078"/>
      <w:bookmarkStart w:id="278" w:name="_Toc304462616"/>
      <w:bookmarkStart w:id="279" w:name="_Toc111951395"/>
      <w:bookmarkStart w:id="280" w:name="_Toc240611803"/>
      <w:bookmarkStart w:id="281" w:name="_Toc300147921"/>
      <w:r w:rsidRPr="00B32849">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sidR="003D1BAB">
        <w:rPr>
          <w:noProof/>
        </w:rPr>
        <w:t>3</w:t>
      </w:r>
      <w:r w:rsidR="00772379">
        <w:fldChar w:fldCharType="end"/>
      </w:r>
      <w:bookmarkEnd w:id="255"/>
      <w:r w:rsidRPr="00B32849">
        <w:t>:</w:t>
      </w:r>
      <w:r w:rsidRPr="00B32849">
        <w:tab/>
        <w:t xml:space="preserve">Estimated operator exposure </w:t>
      </w:r>
      <w:r>
        <w:t>(longer term exposure)</w:t>
      </w:r>
      <w:bookmarkEnd w:id="256"/>
    </w:p>
    <w:p w:rsidR="008C3F5C" w:rsidRDefault="008C3F5C" w:rsidP="008C3F5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530"/>
        <w:gridCol w:w="1637"/>
        <w:gridCol w:w="1578"/>
        <w:gridCol w:w="1580"/>
        <w:gridCol w:w="1578"/>
        <w:gridCol w:w="1569"/>
      </w:tblGrid>
      <w:tr w:rsidR="008C3F5C" w:rsidRPr="00552111" w:rsidTr="0045210D">
        <w:tc>
          <w:tcPr>
            <w:tcW w:w="808" w:type="pct"/>
            <w:vAlign w:val="center"/>
          </w:tcPr>
          <w:p w:rsidR="008C3F5C" w:rsidRPr="00552111" w:rsidRDefault="008C3F5C" w:rsidP="001D131F">
            <w:pPr>
              <w:pStyle w:val="RepTableHeader"/>
              <w:jc w:val="center"/>
              <w:rPr>
                <w:lang w:val="en-GB"/>
              </w:rPr>
            </w:pPr>
          </w:p>
        </w:tc>
        <w:tc>
          <w:tcPr>
            <w:tcW w:w="864" w:type="pct"/>
            <w:vAlign w:val="center"/>
          </w:tcPr>
          <w:p w:rsidR="008C3F5C" w:rsidRPr="00552111" w:rsidRDefault="008C3F5C" w:rsidP="001D131F">
            <w:pPr>
              <w:pStyle w:val="RepTableHeader"/>
              <w:jc w:val="center"/>
              <w:rPr>
                <w:lang w:val="en-GB"/>
              </w:rPr>
            </w:pPr>
          </w:p>
        </w:tc>
        <w:tc>
          <w:tcPr>
            <w:tcW w:w="1667" w:type="pct"/>
            <w:gridSpan w:val="2"/>
            <w:shd w:val="clear" w:color="auto" w:fill="auto"/>
            <w:vAlign w:val="center"/>
          </w:tcPr>
          <w:p w:rsidR="008C3F5C" w:rsidRPr="00552111" w:rsidRDefault="008C3F5C" w:rsidP="001D131F">
            <w:pPr>
              <w:pStyle w:val="RepTableHeader"/>
              <w:jc w:val="center"/>
              <w:rPr>
                <w:lang w:val="en-GB"/>
              </w:rPr>
            </w:pPr>
            <w:proofErr w:type="spellStart"/>
            <w:r>
              <w:rPr>
                <w:lang w:val="en-GB"/>
              </w:rPr>
              <w:t>Mesosulfuron</w:t>
            </w:r>
            <w:proofErr w:type="spellEnd"/>
            <w:r>
              <w:rPr>
                <w:lang w:val="en-GB"/>
              </w:rPr>
              <w:t>-methyl</w:t>
            </w:r>
          </w:p>
        </w:tc>
        <w:tc>
          <w:tcPr>
            <w:tcW w:w="1662" w:type="pct"/>
            <w:gridSpan w:val="2"/>
            <w:shd w:val="clear" w:color="auto" w:fill="auto"/>
            <w:vAlign w:val="center"/>
          </w:tcPr>
          <w:p w:rsidR="008C3F5C" w:rsidRPr="00552111" w:rsidRDefault="008C3F5C" w:rsidP="001D131F">
            <w:pPr>
              <w:pStyle w:val="RepTableHeader"/>
              <w:jc w:val="center"/>
              <w:rPr>
                <w:lang w:val="en-GB"/>
              </w:rPr>
            </w:pPr>
            <w:proofErr w:type="spellStart"/>
            <w:r>
              <w:rPr>
                <w:lang w:val="en-GB"/>
              </w:rPr>
              <w:t>Iodosulfuron</w:t>
            </w:r>
            <w:proofErr w:type="spellEnd"/>
            <w:r>
              <w:rPr>
                <w:lang w:val="en-GB"/>
              </w:rPr>
              <w:t>-methyl-sodium</w:t>
            </w:r>
          </w:p>
        </w:tc>
      </w:tr>
      <w:tr w:rsidR="008C3F5C" w:rsidRPr="00552111" w:rsidTr="0045210D">
        <w:tc>
          <w:tcPr>
            <w:tcW w:w="808" w:type="pct"/>
          </w:tcPr>
          <w:p w:rsidR="008C3F5C" w:rsidRPr="00552111" w:rsidRDefault="008C3F5C" w:rsidP="001D131F">
            <w:pPr>
              <w:pStyle w:val="RepTableHeader"/>
              <w:rPr>
                <w:lang w:val="en-GB"/>
              </w:rPr>
            </w:pPr>
            <w:r w:rsidRPr="00552111">
              <w:rPr>
                <w:lang w:val="en-GB"/>
              </w:rPr>
              <w:t>Model data</w:t>
            </w:r>
          </w:p>
        </w:tc>
        <w:tc>
          <w:tcPr>
            <w:tcW w:w="864" w:type="pct"/>
          </w:tcPr>
          <w:p w:rsidR="008C3F5C" w:rsidRPr="00552111" w:rsidRDefault="008C3F5C" w:rsidP="001D131F">
            <w:pPr>
              <w:pStyle w:val="RepTableHeader"/>
              <w:rPr>
                <w:lang w:val="en-GB"/>
              </w:rPr>
            </w:pPr>
            <w:r w:rsidRPr="00552111">
              <w:rPr>
                <w:lang w:val="en-GB"/>
              </w:rPr>
              <w:t>Level of PPE</w:t>
            </w:r>
          </w:p>
        </w:tc>
        <w:tc>
          <w:tcPr>
            <w:tcW w:w="833" w:type="pct"/>
          </w:tcPr>
          <w:p w:rsidR="008C3F5C" w:rsidRPr="00552111" w:rsidRDefault="008C3F5C" w:rsidP="001D131F">
            <w:pPr>
              <w:pStyle w:val="RepTableHeader"/>
              <w:jc w:val="center"/>
              <w:rPr>
                <w:lang w:val="en-GB"/>
              </w:rPr>
            </w:pPr>
            <w:r w:rsidRPr="00552111">
              <w:rPr>
                <w:lang w:val="en-GB"/>
              </w:rPr>
              <w:t xml:space="preserve">Total absorbed dose </w:t>
            </w:r>
            <w:r w:rsidRPr="00552111">
              <w:rPr>
                <w:lang w:val="en-GB"/>
              </w:rPr>
              <w:br/>
              <w:t>(mg/kg/day)</w:t>
            </w:r>
          </w:p>
        </w:tc>
        <w:tc>
          <w:tcPr>
            <w:tcW w:w="834" w:type="pct"/>
          </w:tcPr>
          <w:p w:rsidR="008C3F5C" w:rsidRPr="00552111" w:rsidRDefault="008C3F5C" w:rsidP="001D131F">
            <w:pPr>
              <w:pStyle w:val="RepTableHeader"/>
              <w:jc w:val="center"/>
              <w:rPr>
                <w:lang w:val="en-GB"/>
              </w:rPr>
            </w:pPr>
            <w:r w:rsidRPr="00552111">
              <w:rPr>
                <w:lang w:val="en-GB"/>
              </w:rPr>
              <w:t>% of systemic AOEL</w:t>
            </w:r>
          </w:p>
        </w:tc>
        <w:tc>
          <w:tcPr>
            <w:tcW w:w="833" w:type="pct"/>
          </w:tcPr>
          <w:p w:rsidR="008C3F5C" w:rsidRPr="00552111" w:rsidRDefault="008C3F5C" w:rsidP="001D131F">
            <w:pPr>
              <w:pStyle w:val="RepTableHeader"/>
              <w:jc w:val="center"/>
              <w:rPr>
                <w:lang w:val="en-GB"/>
              </w:rPr>
            </w:pPr>
            <w:r w:rsidRPr="00552111">
              <w:rPr>
                <w:lang w:val="en-GB"/>
              </w:rPr>
              <w:t xml:space="preserve">Total absorbed dose </w:t>
            </w:r>
            <w:r w:rsidRPr="00552111">
              <w:rPr>
                <w:lang w:val="en-GB"/>
              </w:rPr>
              <w:br/>
              <w:t>(mg/kg/day)</w:t>
            </w:r>
          </w:p>
        </w:tc>
        <w:tc>
          <w:tcPr>
            <w:tcW w:w="829" w:type="pct"/>
          </w:tcPr>
          <w:p w:rsidR="008C3F5C" w:rsidRPr="00552111" w:rsidRDefault="008C3F5C" w:rsidP="001D131F">
            <w:pPr>
              <w:pStyle w:val="RepTableHeader"/>
              <w:jc w:val="center"/>
              <w:rPr>
                <w:lang w:val="en-GB"/>
              </w:rPr>
            </w:pPr>
            <w:r w:rsidRPr="00552111">
              <w:rPr>
                <w:lang w:val="en-GB"/>
              </w:rPr>
              <w:t>% of systemic AOEL</w:t>
            </w:r>
          </w:p>
        </w:tc>
      </w:tr>
      <w:tr w:rsidR="008C3F5C" w:rsidRPr="00552111" w:rsidTr="001D131F">
        <w:tc>
          <w:tcPr>
            <w:tcW w:w="5000" w:type="pct"/>
            <w:gridSpan w:val="6"/>
          </w:tcPr>
          <w:p w:rsidR="008C3F5C" w:rsidRPr="00552111" w:rsidRDefault="008C3F5C" w:rsidP="001D131F">
            <w:pPr>
              <w:pStyle w:val="RepStandard"/>
              <w:rPr>
                <w:sz w:val="20"/>
                <w:szCs w:val="20"/>
              </w:rPr>
            </w:pPr>
            <w:r w:rsidRPr="009F73A1">
              <w:rPr>
                <w:sz w:val="20"/>
                <w:szCs w:val="20"/>
              </w:rPr>
              <w:t>Tractor mounted boom spray application outdoors to low crops</w:t>
            </w:r>
          </w:p>
        </w:tc>
      </w:tr>
      <w:tr w:rsidR="008C3F5C" w:rsidRPr="00552111" w:rsidTr="0045210D">
        <w:tc>
          <w:tcPr>
            <w:tcW w:w="1671" w:type="pct"/>
            <w:gridSpan w:val="2"/>
          </w:tcPr>
          <w:p w:rsidR="008C3F5C" w:rsidRPr="00552111" w:rsidRDefault="008C3F5C" w:rsidP="001D131F">
            <w:pPr>
              <w:pStyle w:val="RepStandard"/>
              <w:rPr>
                <w:sz w:val="20"/>
                <w:szCs w:val="20"/>
              </w:rPr>
            </w:pPr>
            <w:r w:rsidRPr="00552111">
              <w:rPr>
                <w:sz w:val="20"/>
                <w:szCs w:val="20"/>
              </w:rPr>
              <w:t>Application rate</w:t>
            </w:r>
          </w:p>
        </w:tc>
        <w:tc>
          <w:tcPr>
            <w:tcW w:w="1667" w:type="pct"/>
            <w:gridSpan w:val="2"/>
          </w:tcPr>
          <w:p w:rsidR="008C3F5C" w:rsidRPr="0046191B" w:rsidRDefault="008C3F5C" w:rsidP="001D131F">
            <w:pPr>
              <w:pStyle w:val="RepStandard"/>
              <w:rPr>
                <w:sz w:val="20"/>
                <w:szCs w:val="20"/>
              </w:rPr>
            </w:pPr>
            <w:r w:rsidRPr="0046191B">
              <w:rPr>
                <w:sz w:val="20"/>
                <w:szCs w:val="20"/>
                <w:lang w:val="en-US"/>
              </w:rPr>
              <w:t xml:space="preserve">1 x </w:t>
            </w:r>
            <w:r w:rsidR="0046191B" w:rsidRPr="0046191B">
              <w:rPr>
                <w:sz w:val="20"/>
                <w:szCs w:val="20"/>
                <w:lang w:val="en-US"/>
              </w:rPr>
              <w:t xml:space="preserve">0.016125 </w:t>
            </w:r>
            <w:r w:rsidRPr="0046191B">
              <w:rPr>
                <w:sz w:val="20"/>
                <w:szCs w:val="20"/>
              </w:rPr>
              <w:t>kg a.s./ha</w:t>
            </w:r>
          </w:p>
        </w:tc>
        <w:tc>
          <w:tcPr>
            <w:tcW w:w="1662" w:type="pct"/>
            <w:gridSpan w:val="2"/>
          </w:tcPr>
          <w:p w:rsidR="008C3F5C" w:rsidRPr="008C3F5C" w:rsidRDefault="008C3F5C" w:rsidP="001D131F">
            <w:pPr>
              <w:pStyle w:val="RepStandard"/>
              <w:rPr>
                <w:sz w:val="20"/>
                <w:szCs w:val="20"/>
                <w:highlight w:val="yellow"/>
              </w:rPr>
            </w:pPr>
            <w:r w:rsidRPr="0046191B">
              <w:rPr>
                <w:sz w:val="20"/>
                <w:szCs w:val="20"/>
                <w:lang w:val="en-US"/>
              </w:rPr>
              <w:t xml:space="preserve">1 x </w:t>
            </w:r>
            <w:r w:rsidR="0046191B" w:rsidRPr="0046191B">
              <w:rPr>
                <w:sz w:val="20"/>
                <w:szCs w:val="20"/>
                <w:lang w:val="en-US"/>
              </w:rPr>
              <w:t xml:space="preserve">0.0033 </w:t>
            </w:r>
            <w:r w:rsidRPr="0046191B">
              <w:rPr>
                <w:sz w:val="20"/>
                <w:szCs w:val="20"/>
              </w:rPr>
              <w:t>kg a.s./ha</w:t>
            </w:r>
          </w:p>
        </w:tc>
      </w:tr>
      <w:tr w:rsidR="0045210D" w:rsidRPr="00552111" w:rsidTr="0045210D">
        <w:trPr>
          <w:trHeight w:val="326"/>
        </w:trPr>
        <w:tc>
          <w:tcPr>
            <w:tcW w:w="808" w:type="pct"/>
            <w:vMerge w:val="restart"/>
          </w:tcPr>
          <w:p w:rsidR="0045210D" w:rsidRPr="00552111" w:rsidRDefault="0045210D" w:rsidP="001D131F">
            <w:pPr>
              <w:pStyle w:val="RepStandard"/>
              <w:jc w:val="left"/>
              <w:rPr>
                <w:sz w:val="20"/>
                <w:szCs w:val="20"/>
              </w:rPr>
            </w:pPr>
            <w:r w:rsidRPr="00552111">
              <w:rPr>
                <w:b/>
                <w:sz w:val="20"/>
                <w:szCs w:val="20"/>
              </w:rPr>
              <w:t xml:space="preserve">Spray application </w:t>
            </w:r>
            <w:r w:rsidRPr="00552111">
              <w:rPr>
                <w:sz w:val="20"/>
                <w:szCs w:val="20"/>
              </w:rPr>
              <w:t>(</w:t>
            </w:r>
            <w:r w:rsidRPr="006B1879">
              <w:rPr>
                <w:sz w:val="20"/>
              </w:rPr>
              <w:t>EFSA Journal 2022;20(1):7032</w:t>
            </w:r>
            <w:r>
              <w:rPr>
                <w:sz w:val="20"/>
              </w:rPr>
              <w:t xml:space="preserve">, </w:t>
            </w:r>
            <w:r w:rsidRPr="00552111">
              <w:rPr>
                <w:sz w:val="20"/>
                <w:szCs w:val="20"/>
              </w:rPr>
              <w:t>AOEM</w:t>
            </w:r>
            <w:r w:rsidRPr="00552111">
              <w:rPr>
                <w:b/>
                <w:sz w:val="20"/>
                <w:szCs w:val="20"/>
              </w:rPr>
              <w:t xml:space="preserve">; </w:t>
            </w:r>
            <w:r w:rsidRPr="00552111">
              <w:rPr>
                <w:sz w:val="20"/>
              </w:rPr>
              <w:t>75</w:t>
            </w:r>
            <w:r w:rsidRPr="00552111">
              <w:rPr>
                <w:sz w:val="20"/>
                <w:vertAlign w:val="superscript"/>
              </w:rPr>
              <w:t>th</w:t>
            </w:r>
            <w:r w:rsidRPr="00552111">
              <w:rPr>
                <w:sz w:val="20"/>
              </w:rPr>
              <w:t xml:space="preserve"> percentile</w:t>
            </w:r>
            <w:r w:rsidRPr="00552111">
              <w:rPr>
                <w:sz w:val="20"/>
                <w:szCs w:val="20"/>
              </w:rPr>
              <w:t>)</w:t>
            </w:r>
          </w:p>
          <w:p w:rsidR="0045210D" w:rsidRPr="00552111" w:rsidRDefault="0045210D" w:rsidP="001D131F">
            <w:pPr>
              <w:pStyle w:val="RepTable"/>
              <w:rPr>
                <w:b/>
                <w:szCs w:val="20"/>
              </w:rPr>
            </w:pPr>
            <w:r w:rsidRPr="00552111">
              <w:rPr>
                <w:szCs w:val="20"/>
              </w:rPr>
              <w:t>Body weight: 60 kg</w:t>
            </w:r>
          </w:p>
        </w:tc>
        <w:tc>
          <w:tcPr>
            <w:tcW w:w="864" w:type="pct"/>
          </w:tcPr>
          <w:p w:rsidR="0045210D" w:rsidRPr="00552111" w:rsidRDefault="0045210D" w:rsidP="001D131F">
            <w:pPr>
              <w:pStyle w:val="RepTable"/>
              <w:rPr>
                <w:szCs w:val="20"/>
              </w:rPr>
            </w:pPr>
            <w:r>
              <w:rPr>
                <w:szCs w:val="20"/>
              </w:rPr>
              <w:t>Potential</w:t>
            </w:r>
          </w:p>
        </w:tc>
        <w:tc>
          <w:tcPr>
            <w:tcW w:w="833" w:type="pct"/>
            <w:vAlign w:val="center"/>
          </w:tcPr>
          <w:p w:rsidR="0045210D" w:rsidRPr="00552111" w:rsidRDefault="0045210D" w:rsidP="001D131F">
            <w:pPr>
              <w:pStyle w:val="RepTable"/>
              <w:jc w:val="center"/>
              <w:rPr>
                <w:rFonts w:eastAsia="SimSun"/>
                <w:szCs w:val="20"/>
                <w:lang w:eastAsia="zh-CN"/>
              </w:rPr>
            </w:pPr>
            <w:r w:rsidRPr="0045210D">
              <w:rPr>
                <w:rFonts w:eastAsia="SimSun"/>
                <w:szCs w:val="20"/>
                <w:lang w:eastAsia="zh-CN"/>
              </w:rPr>
              <w:t>0.1</w:t>
            </w:r>
          </w:p>
        </w:tc>
        <w:tc>
          <w:tcPr>
            <w:tcW w:w="834" w:type="pct"/>
            <w:shd w:val="clear" w:color="auto" w:fill="EAF1DD" w:themeFill="accent3" w:themeFillTint="33"/>
            <w:vAlign w:val="center"/>
          </w:tcPr>
          <w:p w:rsidR="0045210D" w:rsidRPr="00FE5295" w:rsidRDefault="0045210D" w:rsidP="001D131F">
            <w:pPr>
              <w:jc w:val="center"/>
              <w:rPr>
                <w:rFonts w:eastAsia="SimSun"/>
                <w:noProof/>
                <w:sz w:val="20"/>
                <w:szCs w:val="20"/>
                <w:lang w:val="en-GB" w:eastAsia="zh-CN"/>
              </w:rPr>
            </w:pPr>
            <w:r w:rsidRPr="0045210D">
              <w:rPr>
                <w:rFonts w:eastAsia="SimSun"/>
                <w:noProof/>
                <w:sz w:val="20"/>
                <w:szCs w:val="20"/>
                <w:lang w:val="en-GB" w:eastAsia="zh-CN"/>
              </w:rPr>
              <w:t>93.5</w:t>
            </w:r>
          </w:p>
        </w:tc>
        <w:tc>
          <w:tcPr>
            <w:tcW w:w="833" w:type="pct"/>
            <w:vAlign w:val="center"/>
          </w:tcPr>
          <w:p w:rsidR="0045210D" w:rsidRPr="00FE5295" w:rsidRDefault="0045210D" w:rsidP="001D131F">
            <w:pPr>
              <w:jc w:val="center"/>
              <w:rPr>
                <w:rFonts w:eastAsia="SimSun"/>
                <w:noProof/>
                <w:sz w:val="20"/>
                <w:szCs w:val="20"/>
                <w:lang w:val="en-GB" w:eastAsia="zh-CN"/>
              </w:rPr>
            </w:pPr>
            <w:r w:rsidRPr="0045210D">
              <w:rPr>
                <w:rFonts w:eastAsia="SimSun"/>
                <w:noProof/>
                <w:sz w:val="20"/>
                <w:szCs w:val="20"/>
                <w:lang w:val="en-GB" w:eastAsia="zh-CN"/>
              </w:rPr>
              <w:t>0.04</w:t>
            </w:r>
          </w:p>
        </w:tc>
        <w:tc>
          <w:tcPr>
            <w:tcW w:w="829" w:type="pct"/>
            <w:shd w:val="clear" w:color="auto" w:fill="EAF1DD" w:themeFill="accent3" w:themeFillTint="33"/>
            <w:vAlign w:val="center"/>
          </w:tcPr>
          <w:p w:rsidR="0045210D" w:rsidRPr="00FE5295" w:rsidRDefault="0045210D" w:rsidP="001D131F">
            <w:pPr>
              <w:jc w:val="center"/>
              <w:rPr>
                <w:rFonts w:eastAsia="SimSun"/>
                <w:noProof/>
                <w:sz w:val="20"/>
                <w:szCs w:val="20"/>
                <w:lang w:val="en-GB" w:eastAsia="zh-CN"/>
              </w:rPr>
            </w:pPr>
            <w:r w:rsidRPr="0045210D">
              <w:rPr>
                <w:rFonts w:eastAsia="SimSun"/>
                <w:noProof/>
                <w:sz w:val="20"/>
                <w:szCs w:val="20"/>
                <w:lang w:val="en-GB" w:eastAsia="zh-CN"/>
              </w:rPr>
              <w:t>83.4</w:t>
            </w:r>
          </w:p>
        </w:tc>
      </w:tr>
      <w:tr w:rsidR="0045210D" w:rsidRPr="00552111" w:rsidTr="0045210D">
        <w:trPr>
          <w:trHeight w:val="326"/>
        </w:trPr>
        <w:tc>
          <w:tcPr>
            <w:tcW w:w="808" w:type="pct"/>
            <w:vMerge/>
          </w:tcPr>
          <w:p w:rsidR="0045210D" w:rsidRPr="00552111" w:rsidRDefault="0045210D" w:rsidP="001D131F">
            <w:pPr>
              <w:pStyle w:val="RepTable"/>
              <w:rPr>
                <w:szCs w:val="20"/>
              </w:rPr>
            </w:pPr>
          </w:p>
        </w:tc>
        <w:tc>
          <w:tcPr>
            <w:tcW w:w="864" w:type="pct"/>
          </w:tcPr>
          <w:p w:rsidR="0045210D" w:rsidRPr="00552111" w:rsidRDefault="0045210D" w:rsidP="001D131F">
            <w:pPr>
              <w:pStyle w:val="RepTable"/>
              <w:rPr>
                <w:szCs w:val="20"/>
              </w:rPr>
            </w:pPr>
            <w:r w:rsidRPr="00552111">
              <w:rPr>
                <w:szCs w:val="20"/>
              </w:rPr>
              <w:t>Work wear (arms, body and legs covered) M/L and A</w:t>
            </w:r>
          </w:p>
        </w:tc>
        <w:tc>
          <w:tcPr>
            <w:tcW w:w="833" w:type="pct"/>
            <w:vAlign w:val="center"/>
          </w:tcPr>
          <w:p w:rsidR="0045210D" w:rsidRPr="00552111" w:rsidRDefault="0045210D" w:rsidP="001D131F">
            <w:pPr>
              <w:pStyle w:val="RepTable"/>
              <w:jc w:val="center"/>
              <w:rPr>
                <w:rFonts w:eastAsia="SimSun"/>
                <w:szCs w:val="20"/>
                <w:lang w:eastAsia="zh-CN"/>
              </w:rPr>
            </w:pPr>
            <w:r w:rsidRPr="0046191B">
              <w:rPr>
                <w:rFonts w:eastAsia="SimSun"/>
                <w:szCs w:val="20"/>
                <w:lang w:eastAsia="zh-CN"/>
              </w:rPr>
              <w:t>0.09</w:t>
            </w:r>
          </w:p>
        </w:tc>
        <w:tc>
          <w:tcPr>
            <w:tcW w:w="834" w:type="pct"/>
            <w:shd w:val="clear" w:color="auto" w:fill="EAF1DD" w:themeFill="accent3" w:themeFillTint="33"/>
            <w:vAlign w:val="center"/>
          </w:tcPr>
          <w:p w:rsidR="0045210D" w:rsidRPr="00552111" w:rsidRDefault="0045210D" w:rsidP="001D131F">
            <w:pPr>
              <w:pStyle w:val="RepTable"/>
              <w:jc w:val="center"/>
              <w:rPr>
                <w:rFonts w:eastAsia="SimSun"/>
                <w:szCs w:val="20"/>
                <w:lang w:eastAsia="zh-CN"/>
              </w:rPr>
            </w:pPr>
            <w:r w:rsidRPr="0046191B">
              <w:rPr>
                <w:rFonts w:eastAsia="SimSun"/>
                <w:szCs w:val="20"/>
                <w:lang w:eastAsia="zh-CN"/>
              </w:rPr>
              <w:t>65.6</w:t>
            </w:r>
          </w:p>
        </w:tc>
        <w:tc>
          <w:tcPr>
            <w:tcW w:w="833" w:type="pct"/>
            <w:vAlign w:val="center"/>
          </w:tcPr>
          <w:p w:rsidR="0045210D" w:rsidRPr="00552111" w:rsidRDefault="0045210D" w:rsidP="001D131F">
            <w:pPr>
              <w:pStyle w:val="RepTable"/>
              <w:jc w:val="center"/>
              <w:rPr>
                <w:rFonts w:eastAsia="SimSun"/>
                <w:szCs w:val="20"/>
                <w:lang w:eastAsia="zh-CN"/>
              </w:rPr>
            </w:pPr>
            <w:r w:rsidRPr="0046191B">
              <w:rPr>
                <w:rFonts w:eastAsia="SimSun"/>
                <w:szCs w:val="20"/>
                <w:lang w:eastAsia="zh-CN"/>
              </w:rPr>
              <w:t>0.03</w:t>
            </w:r>
          </w:p>
        </w:tc>
        <w:tc>
          <w:tcPr>
            <w:tcW w:w="829" w:type="pct"/>
            <w:shd w:val="clear" w:color="auto" w:fill="EAF1DD" w:themeFill="accent3" w:themeFillTint="33"/>
            <w:vAlign w:val="center"/>
          </w:tcPr>
          <w:p w:rsidR="0045210D" w:rsidRPr="00552111" w:rsidRDefault="0045210D" w:rsidP="001D131F">
            <w:pPr>
              <w:pStyle w:val="RepTable"/>
              <w:jc w:val="center"/>
              <w:rPr>
                <w:rFonts w:eastAsia="SimSun"/>
                <w:szCs w:val="20"/>
                <w:lang w:eastAsia="zh-CN"/>
              </w:rPr>
            </w:pPr>
            <w:r w:rsidRPr="0046191B">
              <w:rPr>
                <w:rFonts w:eastAsia="SimSun"/>
                <w:szCs w:val="20"/>
                <w:lang w:eastAsia="zh-CN"/>
              </w:rPr>
              <w:t>61.2</w:t>
            </w:r>
          </w:p>
        </w:tc>
      </w:tr>
      <w:tr w:rsidR="0045210D" w:rsidRPr="00552111" w:rsidTr="0045210D">
        <w:trPr>
          <w:trHeight w:val="326"/>
        </w:trPr>
        <w:tc>
          <w:tcPr>
            <w:tcW w:w="808" w:type="pct"/>
            <w:vMerge/>
          </w:tcPr>
          <w:p w:rsidR="0045210D" w:rsidRPr="00552111" w:rsidRDefault="0045210D" w:rsidP="001D131F">
            <w:pPr>
              <w:pStyle w:val="RepTable"/>
              <w:rPr>
                <w:szCs w:val="20"/>
              </w:rPr>
            </w:pPr>
          </w:p>
        </w:tc>
        <w:tc>
          <w:tcPr>
            <w:tcW w:w="864" w:type="pct"/>
          </w:tcPr>
          <w:p w:rsidR="0045210D" w:rsidRPr="00552111" w:rsidRDefault="0045210D" w:rsidP="001D131F">
            <w:pPr>
              <w:pStyle w:val="RepTable"/>
              <w:rPr>
                <w:szCs w:val="20"/>
              </w:rPr>
            </w:pPr>
            <w:r w:rsidRPr="0045210D">
              <w:rPr>
                <w:szCs w:val="20"/>
              </w:rPr>
              <w:t>Work wear (arms, body and legs covered) M/L and A + gloves M/L</w:t>
            </w:r>
          </w:p>
        </w:tc>
        <w:tc>
          <w:tcPr>
            <w:tcW w:w="833" w:type="pct"/>
            <w:vAlign w:val="center"/>
          </w:tcPr>
          <w:p w:rsidR="0045210D" w:rsidRPr="0046191B" w:rsidRDefault="0045210D" w:rsidP="001D131F">
            <w:pPr>
              <w:pStyle w:val="RepTable"/>
              <w:jc w:val="center"/>
              <w:rPr>
                <w:rFonts w:eastAsia="SimSun"/>
                <w:szCs w:val="20"/>
                <w:lang w:eastAsia="zh-CN"/>
              </w:rPr>
            </w:pPr>
            <w:r>
              <w:rPr>
                <w:rFonts w:eastAsia="SimSun"/>
                <w:szCs w:val="20"/>
                <w:lang w:eastAsia="zh-CN"/>
              </w:rPr>
              <w:t>-</w:t>
            </w:r>
          </w:p>
        </w:tc>
        <w:tc>
          <w:tcPr>
            <w:tcW w:w="834" w:type="pct"/>
            <w:shd w:val="clear" w:color="auto" w:fill="EAF1DD" w:themeFill="accent3" w:themeFillTint="33"/>
            <w:vAlign w:val="center"/>
          </w:tcPr>
          <w:p w:rsidR="0045210D" w:rsidRPr="0046191B" w:rsidRDefault="0045210D" w:rsidP="001D131F">
            <w:pPr>
              <w:pStyle w:val="RepTable"/>
              <w:jc w:val="center"/>
              <w:rPr>
                <w:rFonts w:eastAsia="SimSun"/>
                <w:szCs w:val="20"/>
                <w:lang w:eastAsia="zh-CN"/>
              </w:rPr>
            </w:pPr>
            <w:r>
              <w:rPr>
                <w:rFonts w:eastAsia="SimSun"/>
                <w:szCs w:val="20"/>
                <w:lang w:eastAsia="zh-CN"/>
              </w:rPr>
              <w:t>2.5</w:t>
            </w:r>
          </w:p>
        </w:tc>
        <w:tc>
          <w:tcPr>
            <w:tcW w:w="833" w:type="pct"/>
            <w:vAlign w:val="center"/>
          </w:tcPr>
          <w:p w:rsidR="0045210D" w:rsidRPr="0046191B" w:rsidRDefault="0045210D" w:rsidP="001D131F">
            <w:pPr>
              <w:pStyle w:val="RepTable"/>
              <w:jc w:val="center"/>
              <w:rPr>
                <w:rFonts w:eastAsia="SimSun"/>
                <w:szCs w:val="20"/>
                <w:lang w:eastAsia="zh-CN"/>
              </w:rPr>
            </w:pPr>
            <w:r>
              <w:rPr>
                <w:rFonts w:eastAsia="SimSun"/>
                <w:szCs w:val="20"/>
                <w:lang w:eastAsia="zh-CN"/>
              </w:rPr>
              <w:t>-</w:t>
            </w:r>
          </w:p>
        </w:tc>
        <w:tc>
          <w:tcPr>
            <w:tcW w:w="829" w:type="pct"/>
            <w:shd w:val="clear" w:color="auto" w:fill="EAF1DD" w:themeFill="accent3" w:themeFillTint="33"/>
            <w:vAlign w:val="center"/>
          </w:tcPr>
          <w:p w:rsidR="0045210D" w:rsidRPr="0046191B" w:rsidRDefault="0045210D" w:rsidP="001D131F">
            <w:pPr>
              <w:pStyle w:val="RepTable"/>
              <w:jc w:val="center"/>
              <w:rPr>
                <w:rFonts w:eastAsia="SimSun"/>
                <w:szCs w:val="20"/>
                <w:lang w:eastAsia="zh-CN"/>
              </w:rPr>
            </w:pPr>
            <w:r>
              <w:rPr>
                <w:rFonts w:eastAsia="SimSun"/>
                <w:szCs w:val="20"/>
                <w:lang w:eastAsia="zh-CN"/>
              </w:rPr>
              <w:t>1.9</w:t>
            </w:r>
          </w:p>
        </w:tc>
      </w:tr>
    </w:tbl>
    <w:p w:rsidR="008C3F5C" w:rsidRDefault="008C3F5C" w:rsidP="008C3F5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240"/>
        <w:gridCol w:w="2377"/>
        <w:gridCol w:w="2385"/>
        <w:gridCol w:w="2470"/>
      </w:tblGrid>
      <w:tr w:rsidR="008C3F5C" w:rsidRPr="00B32849" w:rsidTr="001D131F">
        <w:tc>
          <w:tcPr>
            <w:tcW w:w="1182" w:type="pct"/>
            <w:vAlign w:val="center"/>
          </w:tcPr>
          <w:p w:rsidR="008C3F5C" w:rsidRPr="00B32849" w:rsidRDefault="008C3F5C" w:rsidP="001D131F">
            <w:pPr>
              <w:pStyle w:val="RepTableHeader"/>
              <w:jc w:val="center"/>
              <w:rPr>
                <w:lang w:val="en-GB"/>
              </w:rPr>
            </w:pPr>
          </w:p>
        </w:tc>
        <w:tc>
          <w:tcPr>
            <w:tcW w:w="1255" w:type="pct"/>
            <w:vAlign w:val="center"/>
          </w:tcPr>
          <w:p w:rsidR="008C3F5C" w:rsidRPr="00B32849" w:rsidRDefault="008C3F5C" w:rsidP="001D131F">
            <w:pPr>
              <w:pStyle w:val="RepTableHeader"/>
              <w:jc w:val="center"/>
              <w:rPr>
                <w:lang w:val="en-GB"/>
              </w:rPr>
            </w:pPr>
          </w:p>
        </w:tc>
        <w:tc>
          <w:tcPr>
            <w:tcW w:w="2563" w:type="pct"/>
            <w:gridSpan w:val="2"/>
            <w:vAlign w:val="center"/>
          </w:tcPr>
          <w:p w:rsidR="008C3F5C" w:rsidRPr="00B32849" w:rsidRDefault="008C3F5C" w:rsidP="001D131F">
            <w:pPr>
              <w:pStyle w:val="RepTableHeader"/>
              <w:jc w:val="center"/>
              <w:rPr>
                <w:lang w:val="en-GB"/>
              </w:rPr>
            </w:pPr>
            <w:bookmarkStart w:id="282" w:name="_Hlk79479358"/>
            <w:proofErr w:type="spellStart"/>
            <w:r w:rsidRPr="00425D6E">
              <w:rPr>
                <w:bCs/>
              </w:rPr>
              <w:t>Mefenpyr</w:t>
            </w:r>
            <w:proofErr w:type="spellEnd"/>
            <w:r w:rsidRPr="00425D6E">
              <w:rPr>
                <w:bCs/>
              </w:rPr>
              <w:t>-diethyl</w:t>
            </w:r>
            <w:bookmarkEnd w:id="282"/>
          </w:p>
        </w:tc>
      </w:tr>
      <w:tr w:rsidR="008C3F5C" w:rsidRPr="00B32849" w:rsidTr="001D131F">
        <w:tc>
          <w:tcPr>
            <w:tcW w:w="1182" w:type="pct"/>
          </w:tcPr>
          <w:p w:rsidR="008C3F5C" w:rsidRPr="00B32849" w:rsidRDefault="008C3F5C" w:rsidP="001D131F">
            <w:pPr>
              <w:pStyle w:val="RepTableHeader"/>
              <w:rPr>
                <w:lang w:val="en-GB"/>
              </w:rPr>
            </w:pPr>
            <w:r w:rsidRPr="00B32849">
              <w:rPr>
                <w:lang w:val="en-GB"/>
              </w:rPr>
              <w:t>Model data</w:t>
            </w:r>
          </w:p>
        </w:tc>
        <w:tc>
          <w:tcPr>
            <w:tcW w:w="1255" w:type="pct"/>
          </w:tcPr>
          <w:p w:rsidR="008C3F5C" w:rsidRPr="00B32849" w:rsidRDefault="008C3F5C" w:rsidP="001D131F">
            <w:pPr>
              <w:pStyle w:val="RepTableHeader"/>
              <w:rPr>
                <w:lang w:val="en-GB"/>
              </w:rPr>
            </w:pPr>
            <w:r w:rsidRPr="00B32849">
              <w:rPr>
                <w:lang w:val="en-GB"/>
              </w:rPr>
              <w:t>Level of PPE</w:t>
            </w:r>
          </w:p>
        </w:tc>
        <w:tc>
          <w:tcPr>
            <w:tcW w:w="1259" w:type="pct"/>
          </w:tcPr>
          <w:p w:rsidR="008C3F5C" w:rsidRPr="00B32849" w:rsidRDefault="008C3F5C" w:rsidP="001D131F">
            <w:pPr>
              <w:pStyle w:val="RepTableHeader"/>
              <w:jc w:val="center"/>
              <w:rPr>
                <w:lang w:val="en-GB"/>
              </w:rPr>
            </w:pPr>
            <w:r w:rsidRPr="00B32849">
              <w:rPr>
                <w:lang w:val="en-GB"/>
              </w:rPr>
              <w:t xml:space="preserve">Total absorbed dose </w:t>
            </w:r>
            <w:r w:rsidRPr="00B32849">
              <w:rPr>
                <w:lang w:val="en-GB"/>
              </w:rPr>
              <w:br/>
              <w:t>(mg/kg/day)</w:t>
            </w:r>
          </w:p>
        </w:tc>
        <w:tc>
          <w:tcPr>
            <w:tcW w:w="1304" w:type="pct"/>
          </w:tcPr>
          <w:p w:rsidR="008C3F5C" w:rsidRPr="00B32849" w:rsidRDefault="008C3F5C" w:rsidP="001D131F">
            <w:pPr>
              <w:pStyle w:val="RepTableHeader"/>
              <w:jc w:val="center"/>
              <w:rPr>
                <w:lang w:val="en-GB"/>
              </w:rPr>
            </w:pPr>
            <w:r w:rsidRPr="00B32849">
              <w:rPr>
                <w:lang w:val="en-GB"/>
              </w:rPr>
              <w:t>% of systemic AOEL</w:t>
            </w:r>
          </w:p>
        </w:tc>
      </w:tr>
      <w:tr w:rsidR="008C3F5C" w:rsidRPr="00B32849" w:rsidTr="001D131F">
        <w:tc>
          <w:tcPr>
            <w:tcW w:w="5000" w:type="pct"/>
            <w:gridSpan w:val="4"/>
          </w:tcPr>
          <w:p w:rsidR="008C3F5C" w:rsidRPr="00B32849" w:rsidRDefault="008C3F5C" w:rsidP="001D131F">
            <w:pPr>
              <w:pStyle w:val="RepStandard"/>
              <w:rPr>
                <w:sz w:val="20"/>
                <w:szCs w:val="20"/>
                <w:highlight w:val="yellow"/>
              </w:rPr>
            </w:pPr>
            <w:r w:rsidRPr="009F73A1">
              <w:rPr>
                <w:sz w:val="20"/>
                <w:szCs w:val="20"/>
              </w:rPr>
              <w:t>Tractor mounted boom spray application outdoors to low crops</w:t>
            </w:r>
          </w:p>
        </w:tc>
      </w:tr>
      <w:tr w:rsidR="008C3F5C" w:rsidRPr="00B32849" w:rsidTr="001D131F">
        <w:tc>
          <w:tcPr>
            <w:tcW w:w="2437" w:type="pct"/>
            <w:gridSpan w:val="2"/>
          </w:tcPr>
          <w:p w:rsidR="008C3F5C" w:rsidRPr="00B32849" w:rsidRDefault="008C3F5C" w:rsidP="001D131F">
            <w:pPr>
              <w:pStyle w:val="RepStandard"/>
              <w:rPr>
                <w:sz w:val="20"/>
                <w:szCs w:val="20"/>
                <w:highlight w:val="yellow"/>
              </w:rPr>
            </w:pPr>
            <w:r>
              <w:rPr>
                <w:sz w:val="20"/>
                <w:szCs w:val="20"/>
              </w:rPr>
              <w:t>Application rate</w:t>
            </w:r>
            <w:r w:rsidRPr="00B32849">
              <w:rPr>
                <w:sz w:val="20"/>
                <w:szCs w:val="20"/>
              </w:rPr>
              <w:t xml:space="preserve"> </w:t>
            </w:r>
          </w:p>
        </w:tc>
        <w:tc>
          <w:tcPr>
            <w:tcW w:w="2563" w:type="pct"/>
            <w:gridSpan w:val="2"/>
          </w:tcPr>
          <w:p w:rsidR="008C3F5C" w:rsidRPr="00475827" w:rsidRDefault="008C3F5C" w:rsidP="001D131F">
            <w:pPr>
              <w:pStyle w:val="RepStandard"/>
              <w:rPr>
                <w:sz w:val="20"/>
                <w:szCs w:val="20"/>
              </w:rPr>
            </w:pPr>
            <w:r w:rsidRPr="0046191B">
              <w:rPr>
                <w:sz w:val="20"/>
                <w:szCs w:val="20"/>
                <w:lang w:val="en-US"/>
              </w:rPr>
              <w:t>1 x</w:t>
            </w:r>
            <w:r w:rsidRPr="0046191B">
              <w:rPr>
                <w:rFonts w:ascii="Arial" w:eastAsia="Arial" w:hAnsi="Arial" w:cs="Arial"/>
                <w:color w:val="111111"/>
                <w:lang w:val="en-US"/>
              </w:rPr>
              <w:t xml:space="preserve"> </w:t>
            </w:r>
            <w:r w:rsidRPr="0046191B">
              <w:rPr>
                <w:sz w:val="20"/>
                <w:szCs w:val="20"/>
                <w:lang w:val="en-US"/>
              </w:rPr>
              <w:t xml:space="preserve">0.04785 </w:t>
            </w:r>
            <w:r w:rsidRPr="0046191B">
              <w:rPr>
                <w:sz w:val="20"/>
                <w:szCs w:val="20"/>
              </w:rPr>
              <w:t>kg a.s./ha</w:t>
            </w:r>
          </w:p>
        </w:tc>
      </w:tr>
      <w:tr w:rsidR="008C3F5C" w:rsidRPr="00B32849" w:rsidTr="001D131F">
        <w:trPr>
          <w:trHeight w:val="326"/>
        </w:trPr>
        <w:tc>
          <w:tcPr>
            <w:tcW w:w="1182" w:type="pct"/>
            <w:vMerge w:val="restart"/>
          </w:tcPr>
          <w:p w:rsidR="008C3F5C" w:rsidRDefault="008C3F5C" w:rsidP="001D131F">
            <w:pPr>
              <w:pStyle w:val="RepStandard"/>
              <w:jc w:val="left"/>
              <w:rPr>
                <w:b/>
                <w:sz w:val="20"/>
                <w:szCs w:val="20"/>
              </w:rPr>
            </w:pPr>
            <w:r w:rsidRPr="00552111">
              <w:rPr>
                <w:b/>
                <w:sz w:val="20"/>
                <w:szCs w:val="20"/>
              </w:rPr>
              <w:t xml:space="preserve">Spray application </w:t>
            </w:r>
          </w:p>
          <w:p w:rsidR="008C3F5C" w:rsidRPr="00552111" w:rsidRDefault="008C3F5C" w:rsidP="001D131F">
            <w:pPr>
              <w:pStyle w:val="RepStandard"/>
              <w:jc w:val="left"/>
              <w:rPr>
                <w:sz w:val="20"/>
                <w:szCs w:val="20"/>
              </w:rPr>
            </w:pPr>
            <w:r w:rsidRPr="00552111">
              <w:rPr>
                <w:sz w:val="20"/>
                <w:szCs w:val="20"/>
              </w:rPr>
              <w:t>(</w:t>
            </w:r>
            <w:r w:rsidRPr="006B1879">
              <w:rPr>
                <w:sz w:val="20"/>
              </w:rPr>
              <w:t>EFSA Journal 2022;20(1):7032</w:t>
            </w:r>
            <w:r>
              <w:rPr>
                <w:sz w:val="20"/>
              </w:rPr>
              <w:t xml:space="preserve">, </w:t>
            </w:r>
            <w:r w:rsidRPr="00552111">
              <w:rPr>
                <w:sz w:val="20"/>
                <w:szCs w:val="20"/>
              </w:rPr>
              <w:t>AOEM</w:t>
            </w:r>
            <w:r w:rsidRPr="00552111">
              <w:rPr>
                <w:b/>
                <w:sz w:val="20"/>
                <w:szCs w:val="20"/>
              </w:rPr>
              <w:t xml:space="preserve">; </w:t>
            </w:r>
            <w:r w:rsidRPr="00552111">
              <w:rPr>
                <w:sz w:val="20"/>
              </w:rPr>
              <w:t>75</w:t>
            </w:r>
            <w:r w:rsidRPr="00552111">
              <w:rPr>
                <w:sz w:val="20"/>
                <w:vertAlign w:val="superscript"/>
              </w:rPr>
              <w:t>th</w:t>
            </w:r>
            <w:r w:rsidRPr="00552111">
              <w:rPr>
                <w:sz w:val="20"/>
              </w:rPr>
              <w:t xml:space="preserve"> percentile</w:t>
            </w:r>
            <w:r w:rsidRPr="00552111">
              <w:rPr>
                <w:sz w:val="20"/>
                <w:szCs w:val="20"/>
              </w:rPr>
              <w:t>)</w:t>
            </w:r>
          </w:p>
          <w:p w:rsidR="008C3F5C" w:rsidRPr="00552111" w:rsidRDefault="008C3F5C" w:rsidP="001D131F">
            <w:pPr>
              <w:pStyle w:val="RepTable"/>
              <w:rPr>
                <w:szCs w:val="20"/>
              </w:rPr>
            </w:pPr>
            <w:r w:rsidRPr="00552111">
              <w:rPr>
                <w:szCs w:val="20"/>
              </w:rPr>
              <w:t>Body weight: 60 kg</w:t>
            </w:r>
          </w:p>
          <w:p w:rsidR="008C3F5C" w:rsidRPr="00552111" w:rsidRDefault="008C3F5C" w:rsidP="001D131F">
            <w:pPr>
              <w:pStyle w:val="RepTable"/>
              <w:rPr>
                <w:b/>
                <w:szCs w:val="20"/>
              </w:rPr>
            </w:pPr>
          </w:p>
        </w:tc>
        <w:tc>
          <w:tcPr>
            <w:tcW w:w="1255" w:type="pct"/>
          </w:tcPr>
          <w:p w:rsidR="008C3F5C" w:rsidRPr="00552111" w:rsidRDefault="008C3F5C" w:rsidP="001D131F">
            <w:pPr>
              <w:pStyle w:val="RepTable"/>
              <w:rPr>
                <w:szCs w:val="20"/>
              </w:rPr>
            </w:pPr>
            <w:r>
              <w:rPr>
                <w:szCs w:val="20"/>
              </w:rPr>
              <w:t>Potential</w:t>
            </w:r>
          </w:p>
        </w:tc>
        <w:tc>
          <w:tcPr>
            <w:tcW w:w="1259" w:type="pct"/>
            <w:vAlign w:val="center"/>
          </w:tcPr>
          <w:p w:rsidR="008C3F5C" w:rsidRPr="00285B8E" w:rsidRDefault="0045210D" w:rsidP="001D131F">
            <w:pPr>
              <w:pStyle w:val="RepTable"/>
              <w:jc w:val="center"/>
              <w:rPr>
                <w:rFonts w:eastAsia="SimSun"/>
                <w:szCs w:val="20"/>
                <w:lang w:eastAsia="zh-CN"/>
              </w:rPr>
            </w:pPr>
            <w:r w:rsidRPr="0045210D">
              <w:rPr>
                <w:rFonts w:eastAsia="SimSun"/>
                <w:szCs w:val="20"/>
                <w:lang w:eastAsia="zh-CN"/>
              </w:rPr>
              <w:t>0.3</w:t>
            </w:r>
          </w:p>
        </w:tc>
        <w:tc>
          <w:tcPr>
            <w:tcW w:w="1304" w:type="pct"/>
            <w:shd w:val="clear" w:color="auto" w:fill="EAF1DD" w:themeFill="accent3" w:themeFillTint="33"/>
            <w:vAlign w:val="center"/>
          </w:tcPr>
          <w:p w:rsidR="008C3F5C" w:rsidRPr="00FE752C" w:rsidRDefault="0045210D" w:rsidP="001D131F">
            <w:pPr>
              <w:pStyle w:val="RepTable"/>
              <w:jc w:val="center"/>
              <w:rPr>
                <w:rFonts w:eastAsia="SimSun"/>
                <w:szCs w:val="20"/>
                <w:lang w:eastAsia="zh-CN"/>
              </w:rPr>
            </w:pPr>
            <w:r w:rsidRPr="0045210D">
              <w:rPr>
                <w:rFonts w:eastAsia="SimSun"/>
                <w:szCs w:val="20"/>
                <w:lang w:eastAsia="zh-CN"/>
              </w:rPr>
              <w:t>255</w:t>
            </w:r>
          </w:p>
        </w:tc>
      </w:tr>
      <w:tr w:rsidR="0045210D" w:rsidRPr="00B32849" w:rsidTr="003D1BAB">
        <w:trPr>
          <w:trHeight w:val="326"/>
        </w:trPr>
        <w:tc>
          <w:tcPr>
            <w:tcW w:w="1182" w:type="pct"/>
            <w:vMerge/>
          </w:tcPr>
          <w:p w:rsidR="0045210D" w:rsidRPr="00552111" w:rsidRDefault="0045210D" w:rsidP="0045210D">
            <w:pPr>
              <w:pStyle w:val="RepTable"/>
              <w:rPr>
                <w:szCs w:val="20"/>
              </w:rPr>
            </w:pPr>
          </w:p>
        </w:tc>
        <w:tc>
          <w:tcPr>
            <w:tcW w:w="1255" w:type="pct"/>
          </w:tcPr>
          <w:p w:rsidR="0045210D" w:rsidRPr="00552111" w:rsidRDefault="0045210D" w:rsidP="0045210D">
            <w:pPr>
              <w:pStyle w:val="RepTable"/>
              <w:rPr>
                <w:szCs w:val="20"/>
              </w:rPr>
            </w:pPr>
            <w:r w:rsidRPr="00552111">
              <w:rPr>
                <w:szCs w:val="20"/>
              </w:rPr>
              <w:t xml:space="preserve">Work wear (arms, body and legs covered) M/L and A </w:t>
            </w:r>
            <w:r w:rsidRPr="00A967DF">
              <w:rPr>
                <w:szCs w:val="20"/>
              </w:rPr>
              <w:t xml:space="preserve">+ gloves M/L </w:t>
            </w:r>
          </w:p>
        </w:tc>
        <w:tc>
          <w:tcPr>
            <w:tcW w:w="1259" w:type="pct"/>
            <w:vAlign w:val="center"/>
          </w:tcPr>
          <w:p w:rsidR="0045210D" w:rsidRPr="00BD524F" w:rsidRDefault="0045210D" w:rsidP="003D1BAB">
            <w:pPr>
              <w:pStyle w:val="RepTable"/>
              <w:jc w:val="center"/>
              <w:rPr>
                <w:rFonts w:eastAsia="SimSun"/>
                <w:szCs w:val="20"/>
                <w:lang w:eastAsia="zh-CN"/>
              </w:rPr>
            </w:pPr>
            <w:r w:rsidRPr="00665C4E">
              <w:t>0.008</w:t>
            </w:r>
          </w:p>
        </w:tc>
        <w:tc>
          <w:tcPr>
            <w:tcW w:w="1304" w:type="pct"/>
            <w:shd w:val="clear" w:color="auto" w:fill="EAF1DD" w:themeFill="accent3" w:themeFillTint="33"/>
            <w:vAlign w:val="center"/>
          </w:tcPr>
          <w:p w:rsidR="0045210D" w:rsidRPr="00FE752C" w:rsidRDefault="0045210D" w:rsidP="003D1BAB">
            <w:pPr>
              <w:pStyle w:val="RepTable"/>
              <w:jc w:val="center"/>
              <w:rPr>
                <w:rFonts w:eastAsia="SimSun"/>
                <w:szCs w:val="20"/>
                <w:lang w:eastAsia="zh-CN"/>
              </w:rPr>
            </w:pPr>
            <w:r w:rsidRPr="00665C4E">
              <w:t>8.2</w:t>
            </w:r>
          </w:p>
        </w:tc>
      </w:tr>
    </w:tbl>
    <w:p w:rsidR="008C3F5C" w:rsidRDefault="008C3F5C" w:rsidP="008C3F5C">
      <w:pPr>
        <w:pStyle w:val="RepStandard"/>
      </w:pPr>
    </w:p>
    <w:p w:rsidR="00FB2401" w:rsidRDefault="00FB2401" w:rsidP="008C3F5C">
      <w:pPr>
        <w:pStyle w:val="RepStandard"/>
      </w:pPr>
    </w:p>
    <w:p w:rsidR="00FB2401" w:rsidRDefault="00FB2401" w:rsidP="008C3F5C">
      <w:pPr>
        <w:pStyle w:val="RepStandard"/>
      </w:pPr>
    </w:p>
    <w:p w:rsidR="00FB2401" w:rsidRPr="00FB2401" w:rsidRDefault="00FB2401" w:rsidP="00990869">
      <w:pPr>
        <w:pStyle w:val="RepStandard"/>
        <w:shd w:val="clear" w:color="auto" w:fill="00FF00"/>
        <w:rPr>
          <w:b/>
          <w:sz w:val="24"/>
          <w:szCs w:val="24"/>
        </w:rPr>
      </w:pPr>
      <w:r w:rsidRPr="00BC7A69">
        <w:rPr>
          <w:b/>
          <w:sz w:val="24"/>
          <w:szCs w:val="24"/>
        </w:rPr>
        <w:t>Operator exposure estimates performed showed that the permissible operator exposure level (AOEL) will not be exceeded under the intended use conditions when personal protective equipment is used (Work wear (arms, body and legs covered) M/L and A + gloves M/L)</w:t>
      </w:r>
    </w:p>
    <w:p w:rsidR="00FB2401" w:rsidRPr="00FB2401" w:rsidRDefault="00FB2401" w:rsidP="00E223CB">
      <w:pPr>
        <w:pStyle w:val="RepStandard"/>
        <w:shd w:val="clear" w:color="auto" w:fill="FFFFFF" w:themeFill="background1"/>
        <w:rPr>
          <w:b/>
          <w:sz w:val="24"/>
          <w:szCs w:val="24"/>
        </w:rPr>
      </w:pPr>
    </w:p>
    <w:p w:rsidR="00FB2401" w:rsidRPr="00FB2401" w:rsidRDefault="003C0FF6" w:rsidP="008C3F5C">
      <w:pPr>
        <w:pStyle w:val="RepStandard"/>
        <w:rPr>
          <w:b/>
          <w:sz w:val="24"/>
          <w:szCs w:val="24"/>
        </w:rPr>
      </w:pPr>
      <w:r>
        <w:rPr>
          <w:b/>
          <w:sz w:val="24"/>
          <w:szCs w:val="24"/>
        </w:rPr>
        <w:t xml:space="preserve">  </w:t>
      </w:r>
    </w:p>
    <w:p w:rsidR="008C3F5C" w:rsidRPr="00B32849" w:rsidRDefault="008C3F5C" w:rsidP="008C3F5C">
      <w:pPr>
        <w:pStyle w:val="Nagwek4"/>
      </w:pPr>
      <w:bookmarkStart w:id="283" w:name="_Toc450900952"/>
      <w:bookmarkStart w:id="284" w:name="_Toc450920618"/>
      <w:bookmarkStart w:id="285" w:name="_Toc450923739"/>
      <w:bookmarkStart w:id="286" w:name="_Toc454460972"/>
      <w:bookmarkStart w:id="287" w:name="_Toc454462808"/>
      <w:bookmarkStart w:id="288" w:name="_Toc138229966"/>
      <w:bookmarkStart w:id="289" w:name="_Toc179811300"/>
      <w:r w:rsidRPr="00B32849">
        <w:lastRenderedPageBreak/>
        <w:t>Measurement of operator exposure</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83"/>
      <w:bookmarkEnd w:id="284"/>
      <w:bookmarkEnd w:id="285"/>
      <w:bookmarkEnd w:id="286"/>
      <w:bookmarkEnd w:id="287"/>
      <w:bookmarkEnd w:id="288"/>
      <w:bookmarkEnd w:id="289"/>
      <w:r w:rsidRPr="00B32849">
        <w:t xml:space="preserve"> </w:t>
      </w:r>
      <w:bookmarkEnd w:id="278"/>
    </w:p>
    <w:p w:rsidR="008C3F5C" w:rsidRPr="00B32849" w:rsidRDefault="008C3F5C" w:rsidP="008C3F5C">
      <w:pPr>
        <w:pStyle w:val="RepStandard"/>
      </w:pPr>
      <w:bookmarkStart w:id="290" w:name="_Toc111951396"/>
      <w:bookmarkEnd w:id="279"/>
      <w:bookmarkEnd w:id="280"/>
      <w:bookmarkEnd w:id="281"/>
      <w:r w:rsidRPr="00B32849">
        <w:t xml:space="preserve">Since the operator exposure estimations carried out indicated that the acceptable operator exposure level (AOEL) will not be exceeded under conditions of intended uses and </w:t>
      </w:r>
      <w:r>
        <w:t>considering of the</w:t>
      </w:r>
      <w:r w:rsidRPr="00B32849">
        <w:t xml:space="preserve"> above mentioned personal protective equipment (PPE), a study to provide measurements of operator exposure was not necessary and was therefore not performed.</w:t>
      </w:r>
    </w:p>
    <w:p w:rsidR="008C3F5C" w:rsidRPr="00B32849" w:rsidRDefault="008C3F5C" w:rsidP="008C3F5C">
      <w:pPr>
        <w:pStyle w:val="Nagwek3"/>
      </w:pPr>
      <w:bookmarkStart w:id="291" w:name="_Toc300147922"/>
      <w:bookmarkStart w:id="292" w:name="_Toc304462617"/>
      <w:bookmarkStart w:id="293" w:name="_Toc314067806"/>
      <w:bookmarkStart w:id="294" w:name="_Toc314122096"/>
      <w:bookmarkStart w:id="295" w:name="_Toc314129275"/>
      <w:bookmarkStart w:id="296" w:name="_Toc314142394"/>
      <w:bookmarkStart w:id="297" w:name="_Toc314557401"/>
      <w:bookmarkStart w:id="298" w:name="_Toc314557659"/>
      <w:bookmarkStart w:id="299" w:name="_Toc328552256"/>
      <w:bookmarkStart w:id="300" w:name="_Toc332020605"/>
      <w:bookmarkStart w:id="301" w:name="_Toc332203448"/>
      <w:bookmarkStart w:id="302" w:name="_Toc332207000"/>
      <w:bookmarkStart w:id="303" w:name="_Toc332296169"/>
      <w:bookmarkStart w:id="304" w:name="_Toc336434736"/>
      <w:bookmarkStart w:id="305" w:name="_Toc397516887"/>
      <w:bookmarkStart w:id="306" w:name="_Toc398627867"/>
      <w:bookmarkStart w:id="307" w:name="_Toc399335722"/>
      <w:bookmarkStart w:id="308" w:name="_Toc399764863"/>
      <w:bookmarkStart w:id="309" w:name="_Toc412562654"/>
      <w:bookmarkStart w:id="310" w:name="_Toc412562731"/>
      <w:bookmarkStart w:id="311" w:name="_Toc413662723"/>
      <w:bookmarkStart w:id="312" w:name="_Toc413673580"/>
      <w:bookmarkStart w:id="313" w:name="_Toc413673678"/>
      <w:bookmarkStart w:id="314" w:name="_Toc413673749"/>
      <w:bookmarkStart w:id="315" w:name="_Toc413928648"/>
      <w:bookmarkStart w:id="316" w:name="_Toc413936262"/>
      <w:bookmarkStart w:id="317" w:name="_Toc413937973"/>
      <w:bookmarkStart w:id="318" w:name="_Toc414026700"/>
      <w:bookmarkStart w:id="319" w:name="_Toc414974079"/>
      <w:bookmarkStart w:id="320" w:name="_Toc450900953"/>
      <w:bookmarkStart w:id="321" w:name="_Toc450920619"/>
      <w:bookmarkStart w:id="322" w:name="_Toc450923740"/>
      <w:bookmarkStart w:id="323" w:name="_Toc454460973"/>
      <w:bookmarkStart w:id="324" w:name="_Toc454462809"/>
      <w:bookmarkStart w:id="325" w:name="_Toc138229967"/>
      <w:bookmarkStart w:id="326" w:name="_Toc179811301"/>
      <w:bookmarkEnd w:id="290"/>
      <w:r w:rsidRPr="00B32849">
        <w:t xml:space="preserve">Worker exposure </w:t>
      </w:r>
      <w:bookmarkEnd w:id="291"/>
      <w:bookmarkEnd w:id="292"/>
      <w:bookmarkEnd w:id="293"/>
      <w:bookmarkEnd w:id="294"/>
      <w:bookmarkEnd w:id="295"/>
      <w:bookmarkEnd w:id="296"/>
      <w:bookmarkEnd w:id="297"/>
      <w:bookmarkEnd w:id="298"/>
      <w:r w:rsidRPr="00B32849">
        <w:t>(KCP 7.2.3)</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5E4E02" w:rsidRDefault="005E4E02" w:rsidP="005E4E02"/>
    <w:p w:rsidR="008C3F5C" w:rsidRPr="002210BE" w:rsidRDefault="00772379" w:rsidP="008C3F5C">
      <w:pPr>
        <w:pStyle w:val="RepStandard"/>
        <w:spacing w:after="240"/>
      </w:pPr>
      <w:fldSimple w:instr=" REF _Ref413932335 \h  \* MERGEFORMAT ">
        <w:r w:rsidR="008C3F5C" w:rsidRPr="002210BE">
          <w:t>Table </w:t>
        </w:r>
        <w:r w:rsidR="008C3F5C" w:rsidRPr="002210BE">
          <w:rPr>
            <w:noProof/>
          </w:rPr>
          <w:t>6.6</w:t>
        </w:r>
        <w:r w:rsidR="008C3F5C" w:rsidRPr="002210BE">
          <w:noBreakHyphen/>
          <w:t>5</w:t>
        </w:r>
      </w:fldSimple>
      <w:r w:rsidR="008C3F5C" w:rsidRPr="002210BE">
        <w:t xml:space="preserve"> shows the exposure model(s) used for estimation of worker exposure after entry into a previously treated area or handling a crop treated with </w:t>
      </w:r>
      <w:r w:rsidR="008C3F5C" w:rsidRPr="002210BE">
        <w:rPr>
          <w:lang w:val="en-US"/>
        </w:rPr>
        <w:t xml:space="preserve">054-01-05 </w:t>
      </w:r>
      <w:r w:rsidR="008C3F5C" w:rsidRPr="002210BE">
        <w:t xml:space="preserve">according to the critical use(s). Outcome of the estimation is presented in </w:t>
      </w:r>
      <w:fldSimple w:instr=" REF _Ref448297801 \h  \* MERGEFORMAT ">
        <w:r w:rsidR="008C3F5C" w:rsidRPr="002210BE">
          <w:t>Table 6.6</w:t>
        </w:r>
        <w:r w:rsidR="008C3F5C" w:rsidRPr="002210BE">
          <w:noBreakHyphen/>
          <w:t>6</w:t>
        </w:r>
      </w:fldSimple>
      <w:r w:rsidR="008C3F5C" w:rsidRPr="002210BE">
        <w:t xml:space="preserve"> (longer term exposure). Detailed calculations are in </w:t>
      </w:r>
      <w:fldSimple w:instr=" REF _Ref414444418 \r \h  \* MERGEFORMAT ">
        <w:r w:rsidR="008C3F5C" w:rsidRPr="002210BE">
          <w:t>Appendix 3</w:t>
        </w:r>
      </w:fldSimple>
      <w:r w:rsidR="008C3F5C" w:rsidRPr="002210BE">
        <w:t>.</w:t>
      </w:r>
      <w:bookmarkStart w:id="327" w:name="_Ref326238569"/>
      <w:bookmarkStart w:id="328" w:name="_Toc111951401"/>
    </w:p>
    <w:p w:rsidR="008C3F5C" w:rsidRPr="005836E9" w:rsidRDefault="008C3F5C" w:rsidP="008C3F5C">
      <w:pPr>
        <w:spacing w:after="240"/>
        <w:jc w:val="both"/>
        <w:rPr>
          <w:szCs w:val="20"/>
        </w:rPr>
      </w:pPr>
      <w:r w:rsidRPr="002210BE">
        <w:rPr>
          <w:szCs w:val="20"/>
        </w:rPr>
        <w:t>Worker exposure is defined by the task being undertaken and the amount of active substance that is available to be dislodged. According to the EFSA guidance, crops that are similar will have similar work tasks undertaken and therefore will result in similar exposures. An exposure assessment has been carried out for the re-entry activity of inspection and irrigation which is the only relevant worker activity for field crops and covers all uses in the GAP.</w:t>
      </w:r>
    </w:p>
    <w:p w:rsidR="008C3F5C" w:rsidRPr="00B32849" w:rsidRDefault="008C3F5C" w:rsidP="008C3F5C">
      <w:pPr>
        <w:pStyle w:val="RepLabel"/>
      </w:pPr>
      <w:r w:rsidRPr="00B32849">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sidR="003D1BAB">
        <w:rPr>
          <w:noProof/>
        </w:rPr>
        <w:t>4</w:t>
      </w:r>
      <w:r w:rsidR="00772379">
        <w:fldChar w:fldCharType="end"/>
      </w:r>
      <w:r w:rsidRPr="00B32849">
        <w:t>:</w:t>
      </w:r>
      <w:r w:rsidRPr="00B32849">
        <w:tab/>
        <w:t>Exposure models for intended uses</w:t>
      </w:r>
    </w:p>
    <w:tbl>
      <w:tblPr>
        <w:tblStyle w:val="Tabela-Siatka"/>
        <w:tblW w:w="5000" w:type="pct"/>
        <w:tblLook w:val="04A0"/>
      </w:tblPr>
      <w:tblGrid>
        <w:gridCol w:w="723"/>
        <w:gridCol w:w="946"/>
        <w:gridCol w:w="1442"/>
        <w:gridCol w:w="1201"/>
        <w:gridCol w:w="1350"/>
        <w:gridCol w:w="2526"/>
        <w:gridCol w:w="1386"/>
      </w:tblGrid>
      <w:tr w:rsidR="008C3F5C" w:rsidRPr="00CD0520" w:rsidTr="001D131F">
        <w:tc>
          <w:tcPr>
            <w:tcW w:w="378" w:type="pct"/>
          </w:tcPr>
          <w:p w:rsidR="008C3F5C" w:rsidRPr="00CD0520" w:rsidRDefault="008C3F5C" w:rsidP="001D131F">
            <w:pPr>
              <w:rPr>
                <w:b/>
                <w:bCs/>
                <w:sz w:val="18"/>
                <w:szCs w:val="18"/>
              </w:rPr>
            </w:pPr>
            <w:r w:rsidRPr="00CD0520">
              <w:rPr>
                <w:b/>
                <w:bCs/>
                <w:sz w:val="18"/>
                <w:szCs w:val="18"/>
                <w:lang w:val="en-GB"/>
              </w:rPr>
              <w:t>Use No.</w:t>
            </w:r>
            <w:r w:rsidRPr="00CD0520">
              <w:rPr>
                <w:b/>
                <w:bCs/>
                <w:sz w:val="18"/>
                <w:szCs w:val="18"/>
              </w:rPr>
              <w:t xml:space="preserve"> </w:t>
            </w:r>
          </w:p>
        </w:tc>
        <w:tc>
          <w:tcPr>
            <w:tcW w:w="494" w:type="pct"/>
          </w:tcPr>
          <w:p w:rsidR="008C3F5C" w:rsidRPr="00CD0520" w:rsidRDefault="008C3F5C" w:rsidP="001D131F">
            <w:pPr>
              <w:rPr>
                <w:b/>
                <w:bCs/>
                <w:sz w:val="18"/>
                <w:szCs w:val="18"/>
                <w:lang w:val="en-GB"/>
              </w:rPr>
            </w:pPr>
            <w:r w:rsidRPr="00CD0520">
              <w:rPr>
                <w:b/>
                <w:bCs/>
                <w:sz w:val="18"/>
                <w:szCs w:val="18"/>
                <w:lang w:val="en-GB"/>
              </w:rPr>
              <w:t>Crop type</w:t>
            </w:r>
          </w:p>
        </w:tc>
        <w:tc>
          <w:tcPr>
            <w:tcW w:w="753" w:type="pct"/>
          </w:tcPr>
          <w:p w:rsidR="008C3F5C" w:rsidRPr="00CD0520" w:rsidRDefault="008C3F5C" w:rsidP="001D131F">
            <w:pPr>
              <w:rPr>
                <w:b/>
                <w:bCs/>
                <w:sz w:val="18"/>
                <w:szCs w:val="18"/>
                <w:lang w:val="en-GB"/>
              </w:rPr>
            </w:pPr>
            <w:r w:rsidRPr="00CD0520">
              <w:rPr>
                <w:b/>
                <w:bCs/>
                <w:sz w:val="18"/>
                <w:szCs w:val="18"/>
                <w:lang w:val="en-GB"/>
              </w:rPr>
              <w:t>Crop</w:t>
            </w:r>
          </w:p>
        </w:tc>
        <w:tc>
          <w:tcPr>
            <w:tcW w:w="627" w:type="pct"/>
          </w:tcPr>
          <w:p w:rsidR="008C3F5C" w:rsidRPr="00CD0520" w:rsidRDefault="008C3F5C" w:rsidP="001D131F">
            <w:pPr>
              <w:rPr>
                <w:b/>
                <w:bCs/>
                <w:sz w:val="18"/>
                <w:szCs w:val="18"/>
                <w:lang w:val="en-GB"/>
              </w:rPr>
            </w:pPr>
            <w:r w:rsidRPr="00CD0520">
              <w:rPr>
                <w:b/>
                <w:bCs/>
                <w:sz w:val="18"/>
                <w:szCs w:val="18"/>
                <w:lang w:val="en-GB"/>
              </w:rPr>
              <w:t>Max. No. Applications</w:t>
            </w:r>
          </w:p>
        </w:tc>
        <w:tc>
          <w:tcPr>
            <w:tcW w:w="705" w:type="pct"/>
          </w:tcPr>
          <w:p w:rsidR="008C3F5C" w:rsidRPr="00CD0520" w:rsidRDefault="008C3F5C" w:rsidP="001D131F">
            <w:pPr>
              <w:rPr>
                <w:b/>
                <w:bCs/>
                <w:sz w:val="18"/>
                <w:szCs w:val="18"/>
                <w:lang w:val="en-GB"/>
              </w:rPr>
            </w:pPr>
            <w:r w:rsidRPr="00CD0520">
              <w:rPr>
                <w:b/>
                <w:bCs/>
                <w:sz w:val="18"/>
                <w:szCs w:val="18"/>
                <w:lang w:val="en-GB"/>
              </w:rPr>
              <w:t>Min Application Interval (days)</w:t>
            </w:r>
          </w:p>
        </w:tc>
        <w:tc>
          <w:tcPr>
            <w:tcW w:w="1319" w:type="pct"/>
          </w:tcPr>
          <w:p w:rsidR="008C3F5C" w:rsidRDefault="008C3F5C" w:rsidP="001D131F">
            <w:pPr>
              <w:rPr>
                <w:b/>
                <w:bCs/>
                <w:sz w:val="18"/>
                <w:szCs w:val="18"/>
                <w:lang w:val="en-GB"/>
              </w:rPr>
            </w:pPr>
            <w:r w:rsidRPr="00CD0520">
              <w:rPr>
                <w:b/>
                <w:bCs/>
                <w:sz w:val="18"/>
                <w:szCs w:val="18"/>
                <w:lang w:val="en-GB"/>
              </w:rPr>
              <w:t>Application rate (</w:t>
            </w:r>
            <w:r>
              <w:rPr>
                <w:b/>
                <w:bCs/>
                <w:sz w:val="18"/>
                <w:szCs w:val="18"/>
                <w:lang w:val="en-GB"/>
              </w:rPr>
              <w:t>k</w:t>
            </w:r>
            <w:r w:rsidRPr="00CD0520">
              <w:rPr>
                <w:b/>
                <w:bCs/>
                <w:sz w:val="18"/>
                <w:szCs w:val="18"/>
                <w:lang w:val="en-GB"/>
              </w:rPr>
              <w:t>g a.s./ha)</w:t>
            </w:r>
          </w:p>
          <w:p w:rsidR="008C3F5C" w:rsidRPr="008C1FDC" w:rsidRDefault="00862912" w:rsidP="008C3F5C">
            <w:pPr>
              <w:pStyle w:val="Akapitzlist"/>
              <w:numPr>
                <w:ilvl w:val="0"/>
                <w:numId w:val="23"/>
              </w:numPr>
              <w:jc w:val="left"/>
              <w:rPr>
                <w:b/>
                <w:bCs/>
                <w:sz w:val="18"/>
                <w:szCs w:val="18"/>
                <w:lang w:val="en-GB"/>
              </w:rPr>
            </w:pPr>
            <w:proofErr w:type="spellStart"/>
            <w:r>
              <w:rPr>
                <w:b/>
                <w:bCs/>
                <w:sz w:val="18"/>
                <w:szCs w:val="18"/>
                <w:lang w:val="en-GB"/>
              </w:rPr>
              <w:t>mesosulfuron</w:t>
            </w:r>
            <w:proofErr w:type="spellEnd"/>
          </w:p>
          <w:p w:rsidR="008C3F5C" w:rsidRDefault="00862912" w:rsidP="008C3F5C">
            <w:pPr>
              <w:pStyle w:val="Akapitzlist"/>
              <w:numPr>
                <w:ilvl w:val="0"/>
                <w:numId w:val="23"/>
              </w:numPr>
              <w:jc w:val="left"/>
              <w:rPr>
                <w:b/>
                <w:bCs/>
                <w:sz w:val="18"/>
                <w:szCs w:val="18"/>
                <w:lang w:val="en-GB"/>
              </w:rPr>
            </w:pPr>
            <w:proofErr w:type="spellStart"/>
            <w:r>
              <w:rPr>
                <w:b/>
                <w:bCs/>
                <w:sz w:val="18"/>
                <w:szCs w:val="18"/>
                <w:lang w:val="en-GB"/>
              </w:rPr>
              <w:t>iodosulfuron</w:t>
            </w:r>
            <w:proofErr w:type="spellEnd"/>
          </w:p>
          <w:p w:rsidR="008C3F5C" w:rsidRPr="008C1FDC" w:rsidRDefault="008C3F5C" w:rsidP="008C3F5C">
            <w:pPr>
              <w:pStyle w:val="Akapitzlist"/>
              <w:numPr>
                <w:ilvl w:val="0"/>
                <w:numId w:val="23"/>
              </w:numPr>
              <w:jc w:val="left"/>
              <w:rPr>
                <w:b/>
                <w:bCs/>
                <w:sz w:val="18"/>
                <w:szCs w:val="18"/>
                <w:lang w:val="en-GB"/>
              </w:rPr>
            </w:pPr>
            <w:r w:rsidRPr="008C1FDC">
              <w:rPr>
                <w:b/>
                <w:bCs/>
                <w:sz w:val="18"/>
                <w:szCs w:val="18"/>
              </w:rPr>
              <w:t>safener</w:t>
            </w:r>
          </w:p>
        </w:tc>
        <w:tc>
          <w:tcPr>
            <w:tcW w:w="724" w:type="pct"/>
          </w:tcPr>
          <w:p w:rsidR="008C3F5C" w:rsidRPr="00CD0520" w:rsidRDefault="008C3F5C" w:rsidP="001D131F">
            <w:pPr>
              <w:rPr>
                <w:b/>
                <w:bCs/>
                <w:sz w:val="18"/>
                <w:szCs w:val="18"/>
                <w:lang w:val="en-GB"/>
              </w:rPr>
            </w:pPr>
            <w:r w:rsidRPr="00CD0520">
              <w:rPr>
                <w:b/>
                <w:bCs/>
                <w:sz w:val="18"/>
                <w:szCs w:val="18"/>
                <w:lang w:val="en-GB"/>
              </w:rPr>
              <w:t>Worker tasks</w:t>
            </w:r>
          </w:p>
        </w:tc>
      </w:tr>
      <w:tr w:rsidR="008C3F5C" w:rsidRPr="00CD0520" w:rsidTr="001D131F">
        <w:tc>
          <w:tcPr>
            <w:tcW w:w="378" w:type="pct"/>
          </w:tcPr>
          <w:p w:rsidR="008C3F5C" w:rsidRPr="004E72A5" w:rsidRDefault="004E72A5" w:rsidP="001D131F">
            <w:pPr>
              <w:rPr>
                <w:sz w:val="18"/>
                <w:szCs w:val="18"/>
                <w:lang w:val="en-GB"/>
              </w:rPr>
            </w:pPr>
            <w:r w:rsidRPr="004E72A5">
              <w:rPr>
                <w:sz w:val="18"/>
                <w:szCs w:val="18"/>
                <w:lang w:val="en-GB"/>
              </w:rPr>
              <w:t>7</w:t>
            </w:r>
          </w:p>
        </w:tc>
        <w:tc>
          <w:tcPr>
            <w:tcW w:w="494" w:type="pct"/>
          </w:tcPr>
          <w:p w:rsidR="008C3F5C" w:rsidRPr="004E72A5" w:rsidRDefault="008C3F5C" w:rsidP="001D131F">
            <w:pPr>
              <w:rPr>
                <w:sz w:val="18"/>
                <w:szCs w:val="18"/>
                <w:lang w:val="en-GB"/>
              </w:rPr>
            </w:pPr>
            <w:r w:rsidRPr="004E72A5">
              <w:rPr>
                <w:sz w:val="18"/>
                <w:szCs w:val="18"/>
                <w:lang w:val="en-GB"/>
              </w:rPr>
              <w:t>Field crops</w:t>
            </w:r>
          </w:p>
        </w:tc>
        <w:tc>
          <w:tcPr>
            <w:tcW w:w="753" w:type="pct"/>
          </w:tcPr>
          <w:p w:rsidR="008C3F5C" w:rsidRPr="004E72A5" w:rsidRDefault="008C3F5C" w:rsidP="001D131F">
            <w:pPr>
              <w:keepNext/>
              <w:keepLines/>
              <w:widowControl w:val="0"/>
              <w:rPr>
                <w:sz w:val="18"/>
                <w:szCs w:val="18"/>
                <w:lang w:val="en-GB"/>
              </w:rPr>
            </w:pPr>
            <w:r w:rsidRPr="004E72A5">
              <w:rPr>
                <w:sz w:val="18"/>
                <w:szCs w:val="18"/>
                <w:lang w:val="en-GB"/>
              </w:rPr>
              <w:t xml:space="preserve">Winter </w:t>
            </w:r>
            <w:r w:rsidR="004E72A5">
              <w:rPr>
                <w:sz w:val="18"/>
                <w:szCs w:val="18"/>
                <w:lang w:val="en-GB"/>
              </w:rPr>
              <w:t xml:space="preserve">soft </w:t>
            </w:r>
            <w:r w:rsidRPr="004E72A5">
              <w:rPr>
                <w:sz w:val="18"/>
                <w:szCs w:val="18"/>
                <w:lang w:val="en-GB"/>
              </w:rPr>
              <w:t>wheat</w:t>
            </w:r>
          </w:p>
        </w:tc>
        <w:tc>
          <w:tcPr>
            <w:tcW w:w="627" w:type="pct"/>
          </w:tcPr>
          <w:p w:rsidR="008C3F5C" w:rsidRPr="00CD0520" w:rsidRDefault="008C3F5C" w:rsidP="001D131F">
            <w:pPr>
              <w:rPr>
                <w:sz w:val="18"/>
                <w:szCs w:val="18"/>
                <w:lang w:val="en-GB"/>
              </w:rPr>
            </w:pPr>
            <w:r>
              <w:rPr>
                <w:sz w:val="18"/>
                <w:szCs w:val="18"/>
                <w:lang w:val="en-GB"/>
              </w:rPr>
              <w:t>1</w:t>
            </w:r>
          </w:p>
        </w:tc>
        <w:tc>
          <w:tcPr>
            <w:tcW w:w="705" w:type="pct"/>
          </w:tcPr>
          <w:p w:rsidR="008C3F5C" w:rsidRPr="00CD0520" w:rsidRDefault="008C3F5C" w:rsidP="001D131F">
            <w:pPr>
              <w:rPr>
                <w:sz w:val="18"/>
                <w:szCs w:val="18"/>
                <w:lang w:val="en-GB"/>
              </w:rPr>
            </w:pPr>
            <w:r>
              <w:rPr>
                <w:sz w:val="18"/>
                <w:szCs w:val="18"/>
                <w:lang w:val="en-GB"/>
              </w:rPr>
              <w:t>N/A</w:t>
            </w:r>
          </w:p>
        </w:tc>
        <w:tc>
          <w:tcPr>
            <w:tcW w:w="1319" w:type="pct"/>
          </w:tcPr>
          <w:p w:rsidR="008C3F5C" w:rsidRPr="006C3C82" w:rsidRDefault="00862912" w:rsidP="008C3F5C">
            <w:pPr>
              <w:pStyle w:val="Akapitzlist"/>
              <w:numPr>
                <w:ilvl w:val="0"/>
                <w:numId w:val="24"/>
              </w:numPr>
              <w:jc w:val="left"/>
              <w:rPr>
                <w:sz w:val="18"/>
                <w:szCs w:val="18"/>
              </w:rPr>
            </w:pPr>
            <w:r w:rsidRPr="006C3C82">
              <w:rPr>
                <w:sz w:val="18"/>
                <w:szCs w:val="18"/>
              </w:rPr>
              <w:t xml:space="preserve">0.016125 </w:t>
            </w:r>
            <w:r w:rsidR="008C3F5C" w:rsidRPr="006C3C82">
              <w:rPr>
                <w:sz w:val="18"/>
                <w:szCs w:val="18"/>
                <w:lang w:val="en-GB"/>
              </w:rPr>
              <w:t xml:space="preserve">kg </w:t>
            </w:r>
            <w:proofErr w:type="spellStart"/>
            <w:r w:rsidR="008C3F5C" w:rsidRPr="006C3C82">
              <w:rPr>
                <w:sz w:val="18"/>
                <w:szCs w:val="18"/>
                <w:lang w:val="en-GB"/>
              </w:rPr>
              <w:t>a.s</w:t>
            </w:r>
            <w:proofErr w:type="spellEnd"/>
            <w:r w:rsidR="008C3F5C" w:rsidRPr="006C3C82">
              <w:rPr>
                <w:sz w:val="18"/>
                <w:szCs w:val="18"/>
                <w:lang w:val="en-GB"/>
              </w:rPr>
              <w:t>./ha</w:t>
            </w:r>
            <w:r w:rsidR="008C3F5C" w:rsidRPr="006C3C82">
              <w:rPr>
                <w:sz w:val="18"/>
                <w:szCs w:val="18"/>
              </w:rPr>
              <w:t xml:space="preserve"> </w:t>
            </w:r>
            <w:proofErr w:type="spellStart"/>
            <w:r w:rsidR="008C3F5C" w:rsidRPr="006C3C82">
              <w:rPr>
                <w:sz w:val="18"/>
                <w:szCs w:val="18"/>
              </w:rPr>
              <w:t>mesosulfuron</w:t>
            </w:r>
            <w:proofErr w:type="spellEnd"/>
            <w:r w:rsidR="008C3F5C" w:rsidRPr="006C3C82">
              <w:rPr>
                <w:sz w:val="18"/>
                <w:szCs w:val="18"/>
              </w:rPr>
              <w:t>-methyl*,</w:t>
            </w:r>
          </w:p>
          <w:p w:rsidR="008C3F5C" w:rsidRPr="006C3C82" w:rsidRDefault="00862912" w:rsidP="008C3F5C">
            <w:pPr>
              <w:pStyle w:val="Akapitzlist"/>
              <w:numPr>
                <w:ilvl w:val="0"/>
                <w:numId w:val="24"/>
              </w:numPr>
              <w:jc w:val="left"/>
              <w:rPr>
                <w:sz w:val="18"/>
                <w:szCs w:val="18"/>
              </w:rPr>
            </w:pPr>
            <w:r w:rsidRPr="006C3C82">
              <w:rPr>
                <w:sz w:val="18"/>
                <w:szCs w:val="18"/>
              </w:rPr>
              <w:t xml:space="preserve">0.0033 </w:t>
            </w:r>
            <w:r w:rsidR="008C3F5C" w:rsidRPr="006C3C82">
              <w:rPr>
                <w:sz w:val="18"/>
                <w:szCs w:val="18"/>
                <w:lang w:val="en-GB"/>
              </w:rPr>
              <w:t xml:space="preserve">kg </w:t>
            </w:r>
            <w:proofErr w:type="spellStart"/>
            <w:r w:rsidR="008C3F5C" w:rsidRPr="006C3C82">
              <w:rPr>
                <w:sz w:val="18"/>
                <w:szCs w:val="18"/>
                <w:lang w:val="en-GB"/>
              </w:rPr>
              <w:t>a.s</w:t>
            </w:r>
            <w:proofErr w:type="spellEnd"/>
            <w:r w:rsidR="008C3F5C" w:rsidRPr="006C3C82">
              <w:rPr>
                <w:sz w:val="18"/>
                <w:szCs w:val="18"/>
                <w:lang w:val="en-GB"/>
              </w:rPr>
              <w:t>./ha</w:t>
            </w:r>
            <w:r w:rsidR="008C3F5C" w:rsidRPr="006C3C82">
              <w:rPr>
                <w:sz w:val="18"/>
                <w:szCs w:val="18"/>
              </w:rPr>
              <w:t xml:space="preserve"> </w:t>
            </w:r>
            <w:proofErr w:type="spellStart"/>
            <w:r w:rsidR="008C3F5C" w:rsidRPr="006C3C82">
              <w:rPr>
                <w:sz w:val="18"/>
                <w:szCs w:val="18"/>
              </w:rPr>
              <w:t>iodosulfuron</w:t>
            </w:r>
            <w:proofErr w:type="spellEnd"/>
            <w:r w:rsidR="008C3F5C" w:rsidRPr="006C3C82">
              <w:rPr>
                <w:sz w:val="18"/>
                <w:szCs w:val="18"/>
              </w:rPr>
              <w:t xml:space="preserve">-methyl**, </w:t>
            </w:r>
          </w:p>
          <w:p w:rsidR="008C3F5C" w:rsidRPr="008C1FDC" w:rsidRDefault="008C3F5C" w:rsidP="008C3F5C">
            <w:pPr>
              <w:pStyle w:val="Akapitzlist"/>
              <w:numPr>
                <w:ilvl w:val="0"/>
                <w:numId w:val="24"/>
              </w:numPr>
              <w:jc w:val="left"/>
              <w:rPr>
                <w:sz w:val="18"/>
                <w:szCs w:val="18"/>
              </w:rPr>
            </w:pPr>
            <w:r w:rsidRPr="006C3C82">
              <w:rPr>
                <w:sz w:val="18"/>
                <w:szCs w:val="18"/>
              </w:rPr>
              <w:t xml:space="preserve">0.04785 </w:t>
            </w:r>
            <w:r w:rsidRPr="006C3C82">
              <w:rPr>
                <w:sz w:val="18"/>
                <w:szCs w:val="18"/>
                <w:lang w:val="en-GB"/>
              </w:rPr>
              <w:t xml:space="preserve">kg </w:t>
            </w:r>
            <w:proofErr w:type="spellStart"/>
            <w:r w:rsidRPr="006C3C82">
              <w:rPr>
                <w:sz w:val="18"/>
                <w:szCs w:val="18"/>
                <w:lang w:val="en-GB"/>
              </w:rPr>
              <w:t>a.s</w:t>
            </w:r>
            <w:proofErr w:type="spellEnd"/>
            <w:r w:rsidRPr="006C3C82">
              <w:rPr>
                <w:sz w:val="18"/>
                <w:szCs w:val="18"/>
                <w:lang w:val="en-GB"/>
              </w:rPr>
              <w:t>./ha</w:t>
            </w:r>
            <w:r w:rsidRPr="006C3C82">
              <w:rPr>
                <w:sz w:val="18"/>
                <w:szCs w:val="18"/>
              </w:rPr>
              <w:t xml:space="preserve"> </w:t>
            </w:r>
            <w:proofErr w:type="spellStart"/>
            <w:r w:rsidRPr="006C3C82">
              <w:rPr>
                <w:sz w:val="18"/>
                <w:szCs w:val="18"/>
              </w:rPr>
              <w:t>mefenpyr</w:t>
            </w:r>
            <w:proofErr w:type="spellEnd"/>
            <w:r w:rsidRPr="006C3C82">
              <w:rPr>
                <w:sz w:val="18"/>
                <w:szCs w:val="18"/>
              </w:rPr>
              <w:t>-diethyl***</w:t>
            </w:r>
          </w:p>
        </w:tc>
        <w:tc>
          <w:tcPr>
            <w:tcW w:w="724" w:type="pct"/>
          </w:tcPr>
          <w:p w:rsidR="008C3F5C" w:rsidRPr="00CD0520" w:rsidRDefault="008C3F5C" w:rsidP="001D131F">
            <w:pPr>
              <w:rPr>
                <w:sz w:val="18"/>
                <w:szCs w:val="18"/>
                <w:lang w:val="en-GB"/>
              </w:rPr>
            </w:pPr>
            <w:r>
              <w:rPr>
                <w:sz w:val="18"/>
                <w:szCs w:val="18"/>
                <w:lang w:val="en-GB"/>
              </w:rPr>
              <w:t xml:space="preserve">Inspection, irrigation </w:t>
            </w:r>
          </w:p>
        </w:tc>
      </w:tr>
    </w:tbl>
    <w:p w:rsidR="008C3F5C" w:rsidRDefault="008C3F5C" w:rsidP="008C3F5C">
      <w:pPr>
        <w:rPr>
          <w:sz w:val="20"/>
          <w:szCs w:val="20"/>
        </w:rPr>
      </w:pPr>
      <w:bookmarkStart w:id="329" w:name="_Ref413932335"/>
      <w:bookmarkStart w:id="330" w:name="_Hlk133933618"/>
      <w:bookmarkEnd w:id="327"/>
      <w:r w:rsidRPr="00B153B4">
        <w:rPr>
          <w:sz w:val="20"/>
          <w:szCs w:val="20"/>
        </w:rPr>
        <w:t>* minimum purity of ≥ 930 g/kg</w:t>
      </w:r>
      <w:r>
        <w:rPr>
          <w:sz w:val="20"/>
          <w:szCs w:val="20"/>
        </w:rPr>
        <w:t xml:space="preserve"> </w:t>
      </w:r>
      <w:r w:rsidRPr="004A59FF">
        <w:rPr>
          <w:sz w:val="20"/>
          <w:szCs w:val="20"/>
        </w:rPr>
        <w:t>(Commission Implementing Regulation (EU) 2017/755)</w:t>
      </w:r>
      <w:r>
        <w:rPr>
          <w:sz w:val="20"/>
          <w:szCs w:val="20"/>
        </w:rPr>
        <w:t xml:space="preserve"> </w:t>
      </w:r>
    </w:p>
    <w:p w:rsidR="008C3F5C" w:rsidRDefault="008C3F5C" w:rsidP="008C3F5C">
      <w:pPr>
        <w:rPr>
          <w:sz w:val="20"/>
          <w:szCs w:val="20"/>
        </w:rPr>
      </w:pPr>
      <w:r>
        <w:rPr>
          <w:sz w:val="20"/>
          <w:szCs w:val="20"/>
        </w:rPr>
        <w:t xml:space="preserve">** </w:t>
      </w:r>
      <w:r w:rsidRPr="00B153B4">
        <w:rPr>
          <w:sz w:val="20"/>
          <w:szCs w:val="20"/>
        </w:rPr>
        <w:t>minimum purity of ≥ 910 g/kg</w:t>
      </w:r>
      <w:r>
        <w:rPr>
          <w:sz w:val="20"/>
          <w:szCs w:val="20"/>
        </w:rPr>
        <w:t xml:space="preserve"> </w:t>
      </w:r>
      <w:r w:rsidRPr="004A59FF">
        <w:rPr>
          <w:sz w:val="20"/>
          <w:szCs w:val="20"/>
        </w:rPr>
        <w:t>(Commission Implementing Regulation (EU) 2017/407)</w:t>
      </w:r>
    </w:p>
    <w:p w:rsidR="008C3F5C" w:rsidRPr="00B153B4" w:rsidRDefault="008C3F5C" w:rsidP="008C3F5C">
      <w:pPr>
        <w:rPr>
          <w:sz w:val="20"/>
          <w:szCs w:val="20"/>
        </w:rPr>
      </w:pPr>
      <w:r>
        <w:rPr>
          <w:sz w:val="20"/>
          <w:szCs w:val="20"/>
        </w:rPr>
        <w:t xml:space="preserve">*** </w:t>
      </w:r>
      <w:r w:rsidRPr="003B3E71">
        <w:rPr>
          <w:sz w:val="20"/>
          <w:szCs w:val="20"/>
        </w:rPr>
        <w:t>minimum purity of ≥ 9</w:t>
      </w:r>
      <w:r>
        <w:rPr>
          <w:sz w:val="20"/>
          <w:szCs w:val="20"/>
        </w:rPr>
        <w:t>4</w:t>
      </w:r>
      <w:r w:rsidRPr="003B3E71">
        <w:rPr>
          <w:sz w:val="20"/>
          <w:szCs w:val="20"/>
        </w:rPr>
        <w:t>0 g/kg</w:t>
      </w:r>
      <w:r>
        <w:rPr>
          <w:sz w:val="20"/>
          <w:szCs w:val="20"/>
        </w:rPr>
        <w:t xml:space="preserve"> (FAO specification </w:t>
      </w:r>
      <w:proofErr w:type="spellStart"/>
      <w:r>
        <w:rPr>
          <w:sz w:val="20"/>
          <w:szCs w:val="20"/>
        </w:rPr>
        <w:t>mefenpyr</w:t>
      </w:r>
      <w:proofErr w:type="spellEnd"/>
      <w:r>
        <w:rPr>
          <w:sz w:val="20"/>
          <w:szCs w:val="20"/>
        </w:rPr>
        <w:t>-diethyl)</w:t>
      </w:r>
    </w:p>
    <w:p w:rsidR="008C3F5C" w:rsidRPr="00B32849" w:rsidRDefault="008C3F5C" w:rsidP="008C3F5C">
      <w:pPr>
        <w:pStyle w:val="RepLabel"/>
      </w:pPr>
      <w:r w:rsidRPr="00B32849">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Pr>
          <w:noProof/>
        </w:rPr>
        <w:t>5</w:t>
      </w:r>
      <w:r w:rsidR="00772379">
        <w:fldChar w:fldCharType="end"/>
      </w:r>
      <w:bookmarkEnd w:id="329"/>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313"/>
        <w:gridCol w:w="7159"/>
      </w:tblGrid>
      <w:tr w:rsidR="008C3F5C" w:rsidRPr="00B32849" w:rsidTr="001D131F">
        <w:tc>
          <w:tcPr>
            <w:tcW w:w="1221" w:type="pct"/>
          </w:tcPr>
          <w:bookmarkEnd w:id="330"/>
          <w:p w:rsidR="008C3F5C" w:rsidRPr="00B32849" w:rsidRDefault="008C3F5C" w:rsidP="001D131F">
            <w:pPr>
              <w:pStyle w:val="RepTable"/>
              <w:keepNext/>
            </w:pPr>
            <w:r w:rsidRPr="00B32849">
              <w:t>Critical use(s)</w:t>
            </w:r>
          </w:p>
        </w:tc>
        <w:tc>
          <w:tcPr>
            <w:tcW w:w="3779" w:type="pct"/>
          </w:tcPr>
          <w:p w:rsidR="008C3F5C" w:rsidRPr="00B32849" w:rsidRDefault="008C3F5C" w:rsidP="001D131F">
            <w:pPr>
              <w:pStyle w:val="RepTable"/>
              <w:keepNext/>
            </w:pPr>
            <w:r>
              <w:t>Field crops</w:t>
            </w:r>
            <w:r w:rsidRPr="00B32849">
              <w:t xml:space="preserve"> </w:t>
            </w:r>
            <w:r w:rsidRPr="00425D6E">
              <w:t xml:space="preserve">(max. </w:t>
            </w:r>
            <w:r>
              <w:t>1 x 1</w:t>
            </w:r>
            <w:r w:rsidRPr="00425D6E">
              <w:t xml:space="preserve">.5 </w:t>
            </w:r>
            <w:r>
              <w:t>L</w:t>
            </w:r>
            <w:r w:rsidRPr="00425D6E">
              <w:t xml:space="preserve"> product/ha)</w:t>
            </w:r>
          </w:p>
        </w:tc>
      </w:tr>
      <w:tr w:rsidR="008C3F5C" w:rsidRPr="00B32849" w:rsidTr="001D131F">
        <w:tc>
          <w:tcPr>
            <w:tcW w:w="1221" w:type="pct"/>
          </w:tcPr>
          <w:p w:rsidR="008C3F5C" w:rsidRPr="00B32849" w:rsidRDefault="008C3F5C" w:rsidP="001D131F">
            <w:pPr>
              <w:pStyle w:val="RepTable"/>
              <w:keepNext/>
            </w:pPr>
            <w:r w:rsidRPr="00B32849">
              <w:t>Model</w:t>
            </w:r>
          </w:p>
        </w:tc>
        <w:tc>
          <w:tcPr>
            <w:tcW w:w="3779" w:type="pct"/>
          </w:tcPr>
          <w:p w:rsidR="008C3F5C" w:rsidRPr="00552111" w:rsidRDefault="008C3F5C" w:rsidP="001D131F">
            <w:pPr>
              <w:pStyle w:val="RepTable"/>
              <w:rPr>
                <w:bCs/>
                <w:szCs w:val="20"/>
              </w:rPr>
            </w:pPr>
            <w:r w:rsidRPr="00552111">
              <w:rPr>
                <w:bCs/>
                <w:szCs w:val="20"/>
              </w:rPr>
              <w:t xml:space="preserve">Guidance on the assessment of exposure of operators, workers, residents and bystanders in risk assessment for plant protection products; EFSA Journal </w:t>
            </w:r>
            <w:r w:rsidRPr="00F64061">
              <w:rPr>
                <w:bCs/>
                <w:szCs w:val="20"/>
              </w:rPr>
              <w:t>2022;20(1):7032</w:t>
            </w:r>
          </w:p>
          <w:p w:rsidR="008C3F5C" w:rsidRPr="00B32849" w:rsidRDefault="008C3F5C" w:rsidP="001D131F">
            <w:pPr>
              <w:pStyle w:val="RepTable"/>
              <w:keepNext/>
            </w:pPr>
            <w:r w:rsidRPr="00552111">
              <w:t xml:space="preserve">calculator version: </w:t>
            </w:r>
            <w:r>
              <w:t>v 1.0.0</w:t>
            </w:r>
          </w:p>
        </w:tc>
      </w:tr>
    </w:tbl>
    <w:p w:rsidR="00BC11DB" w:rsidRPr="00F60BF3" w:rsidRDefault="00F60BF3" w:rsidP="008C3F5C">
      <w:pPr>
        <w:pStyle w:val="RepLabel"/>
        <w:spacing w:before="240"/>
        <w:rPr>
          <w:b w:val="0"/>
          <w:bCs w:val="0"/>
        </w:rPr>
      </w:pPr>
      <w:bookmarkStart w:id="331" w:name="_Ref448297801"/>
      <w:bookmarkStart w:id="332" w:name="_Toc397516889"/>
      <w:bookmarkStart w:id="333" w:name="_Toc398627869"/>
      <w:bookmarkStart w:id="334" w:name="_Toc399335724"/>
      <w:bookmarkStart w:id="335" w:name="_Toc399764865"/>
      <w:bookmarkStart w:id="336" w:name="_Toc412562656"/>
      <w:bookmarkStart w:id="337" w:name="_Toc412562733"/>
      <w:bookmarkStart w:id="338" w:name="_Toc413662725"/>
      <w:bookmarkStart w:id="339" w:name="_Toc413673582"/>
      <w:bookmarkStart w:id="340" w:name="_Toc413673680"/>
      <w:bookmarkStart w:id="341" w:name="_Toc413673751"/>
      <w:bookmarkStart w:id="342" w:name="_Toc413928650"/>
      <w:bookmarkStart w:id="343" w:name="_Toc413936264"/>
      <w:bookmarkStart w:id="344" w:name="_Toc413937975"/>
      <w:bookmarkStart w:id="345" w:name="_Toc414026702"/>
      <w:bookmarkStart w:id="346" w:name="_Toc414974081"/>
      <w:r w:rsidRPr="00F60BF3">
        <w:rPr>
          <w:b w:val="0"/>
          <w:bCs w:val="0"/>
        </w:rPr>
        <w:t>The outcome of the estimation is presented in the following tables.</w:t>
      </w:r>
    </w:p>
    <w:p w:rsidR="00BC11DB" w:rsidRDefault="00BC11DB">
      <w:pPr>
        <w:rPr>
          <w:b/>
          <w:bCs/>
          <w:lang w:val="en-GB"/>
        </w:rPr>
      </w:pPr>
      <w:r>
        <w:br w:type="page"/>
      </w:r>
    </w:p>
    <w:p w:rsidR="008C3F5C" w:rsidRPr="00B32849" w:rsidRDefault="008C3F5C" w:rsidP="008C3F5C">
      <w:pPr>
        <w:pStyle w:val="RepLabel"/>
        <w:spacing w:before="240"/>
      </w:pPr>
      <w:r w:rsidRPr="00B32849">
        <w:lastRenderedPageBreak/>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Pr>
          <w:noProof/>
        </w:rPr>
        <w:t>6</w:t>
      </w:r>
      <w:r w:rsidR="00772379">
        <w:fldChar w:fldCharType="end"/>
      </w:r>
      <w:bookmarkEnd w:id="331"/>
      <w:r w:rsidRPr="00B32849">
        <w:t>:</w:t>
      </w:r>
      <w:r w:rsidRPr="00B32849">
        <w:tab/>
        <w:t xml:space="preserve">Estimated worker exposure </w:t>
      </w:r>
      <w:r>
        <w:t>(longer term exposure)</w:t>
      </w:r>
    </w:p>
    <w:p w:rsidR="008C3F5C" w:rsidRDefault="008C3F5C" w:rsidP="008C3F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770"/>
        <w:gridCol w:w="1974"/>
        <w:gridCol w:w="1432"/>
        <w:gridCol w:w="1432"/>
        <w:gridCol w:w="1432"/>
        <w:gridCol w:w="1432"/>
      </w:tblGrid>
      <w:tr w:rsidR="008C3F5C" w:rsidRPr="006250F3" w:rsidTr="001D131F">
        <w:tc>
          <w:tcPr>
            <w:tcW w:w="934" w:type="pct"/>
            <w:vAlign w:val="center"/>
          </w:tcPr>
          <w:p w:rsidR="008C3F5C" w:rsidRPr="006250F3" w:rsidRDefault="008C3F5C" w:rsidP="001D131F">
            <w:pPr>
              <w:pStyle w:val="RepTableHeader"/>
              <w:jc w:val="center"/>
              <w:rPr>
                <w:highlight w:val="green"/>
                <w:lang w:val="en-GB"/>
              </w:rPr>
            </w:pPr>
          </w:p>
        </w:tc>
        <w:tc>
          <w:tcPr>
            <w:tcW w:w="1042" w:type="pct"/>
            <w:vAlign w:val="center"/>
          </w:tcPr>
          <w:p w:rsidR="008C3F5C" w:rsidRPr="006250F3" w:rsidRDefault="008C3F5C" w:rsidP="001D131F">
            <w:pPr>
              <w:pStyle w:val="RepTableHeader"/>
              <w:jc w:val="center"/>
              <w:rPr>
                <w:highlight w:val="green"/>
                <w:lang w:val="en-GB"/>
              </w:rPr>
            </w:pPr>
          </w:p>
        </w:tc>
        <w:tc>
          <w:tcPr>
            <w:tcW w:w="1512" w:type="pct"/>
            <w:gridSpan w:val="2"/>
            <w:shd w:val="clear" w:color="auto" w:fill="auto"/>
            <w:vAlign w:val="center"/>
          </w:tcPr>
          <w:p w:rsidR="008C3F5C" w:rsidRPr="00552111" w:rsidRDefault="008C3F5C" w:rsidP="001D131F">
            <w:pPr>
              <w:pStyle w:val="RepTableHeader"/>
              <w:jc w:val="center"/>
              <w:rPr>
                <w:highlight w:val="yellow"/>
                <w:lang w:val="en-GB"/>
              </w:rPr>
            </w:pPr>
            <w:proofErr w:type="spellStart"/>
            <w:r>
              <w:rPr>
                <w:lang w:val="en-GB"/>
              </w:rPr>
              <w:t>Mesosulfuron</w:t>
            </w:r>
            <w:proofErr w:type="spellEnd"/>
            <w:r>
              <w:rPr>
                <w:lang w:val="en-GB"/>
              </w:rPr>
              <w:t>-methyl</w:t>
            </w:r>
          </w:p>
        </w:tc>
        <w:tc>
          <w:tcPr>
            <w:tcW w:w="1512" w:type="pct"/>
            <w:gridSpan w:val="2"/>
            <w:shd w:val="clear" w:color="auto" w:fill="auto"/>
            <w:vAlign w:val="center"/>
          </w:tcPr>
          <w:p w:rsidR="008C3F5C" w:rsidRPr="00552111" w:rsidRDefault="008C3F5C" w:rsidP="001D131F">
            <w:pPr>
              <w:pStyle w:val="RepTableHeader"/>
              <w:jc w:val="center"/>
              <w:rPr>
                <w:highlight w:val="yellow"/>
                <w:lang w:val="en-GB"/>
              </w:rPr>
            </w:pPr>
            <w:proofErr w:type="spellStart"/>
            <w:r>
              <w:rPr>
                <w:lang w:val="en-GB"/>
              </w:rPr>
              <w:t>Iodosulfuron</w:t>
            </w:r>
            <w:proofErr w:type="spellEnd"/>
            <w:r>
              <w:rPr>
                <w:lang w:val="en-GB"/>
              </w:rPr>
              <w:t>-methyl-sodium</w:t>
            </w:r>
          </w:p>
        </w:tc>
      </w:tr>
      <w:tr w:rsidR="008C3F5C" w:rsidRPr="006250F3" w:rsidTr="001D131F">
        <w:tc>
          <w:tcPr>
            <w:tcW w:w="934" w:type="pct"/>
          </w:tcPr>
          <w:p w:rsidR="008C3F5C" w:rsidRPr="006250F3" w:rsidRDefault="008C3F5C" w:rsidP="001D131F">
            <w:pPr>
              <w:pStyle w:val="RepTableHeader"/>
              <w:rPr>
                <w:highlight w:val="green"/>
                <w:lang w:val="en-GB"/>
              </w:rPr>
            </w:pPr>
            <w:r w:rsidRPr="00552111">
              <w:rPr>
                <w:lang w:val="en-GB"/>
              </w:rPr>
              <w:t>Model data</w:t>
            </w:r>
          </w:p>
        </w:tc>
        <w:tc>
          <w:tcPr>
            <w:tcW w:w="1042" w:type="pct"/>
          </w:tcPr>
          <w:p w:rsidR="008C3F5C" w:rsidRPr="00552111" w:rsidRDefault="008C3F5C" w:rsidP="001D131F">
            <w:pPr>
              <w:pStyle w:val="RepTableHeader"/>
              <w:rPr>
                <w:lang w:val="en-GB"/>
              </w:rPr>
            </w:pPr>
            <w:r w:rsidRPr="00552111">
              <w:rPr>
                <w:lang w:val="en-GB"/>
              </w:rPr>
              <w:t>Level of PPE</w:t>
            </w:r>
          </w:p>
        </w:tc>
        <w:tc>
          <w:tcPr>
            <w:tcW w:w="756" w:type="pct"/>
          </w:tcPr>
          <w:p w:rsidR="008C3F5C" w:rsidRPr="00552111" w:rsidRDefault="008C3F5C" w:rsidP="001D131F">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756" w:type="pct"/>
          </w:tcPr>
          <w:p w:rsidR="008C3F5C" w:rsidRPr="00552111" w:rsidRDefault="008C3F5C" w:rsidP="001D131F">
            <w:pPr>
              <w:pStyle w:val="RepTableHeader"/>
              <w:jc w:val="center"/>
              <w:rPr>
                <w:lang w:val="en-GB"/>
              </w:rPr>
            </w:pPr>
            <w:r w:rsidRPr="00552111">
              <w:rPr>
                <w:lang w:val="en-GB"/>
              </w:rPr>
              <w:t>% of systemic AOEL</w:t>
            </w:r>
          </w:p>
        </w:tc>
        <w:tc>
          <w:tcPr>
            <w:tcW w:w="756" w:type="pct"/>
          </w:tcPr>
          <w:p w:rsidR="008C3F5C" w:rsidRPr="00552111" w:rsidRDefault="008C3F5C" w:rsidP="001D131F">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756" w:type="pct"/>
          </w:tcPr>
          <w:p w:rsidR="008C3F5C" w:rsidRPr="00552111" w:rsidRDefault="008C3F5C" w:rsidP="001D131F">
            <w:pPr>
              <w:pStyle w:val="RepTableHeader"/>
              <w:jc w:val="center"/>
              <w:rPr>
                <w:lang w:val="en-GB"/>
              </w:rPr>
            </w:pPr>
            <w:r w:rsidRPr="00552111">
              <w:rPr>
                <w:lang w:val="en-GB"/>
              </w:rPr>
              <w:t>% of systemic AOEL</w:t>
            </w:r>
          </w:p>
        </w:tc>
      </w:tr>
      <w:tr w:rsidR="008C3F5C" w:rsidRPr="006250F3" w:rsidTr="001D131F">
        <w:tc>
          <w:tcPr>
            <w:tcW w:w="5000" w:type="pct"/>
            <w:gridSpan w:val="6"/>
          </w:tcPr>
          <w:p w:rsidR="008C3F5C" w:rsidRPr="00DA6C18" w:rsidRDefault="008C3F5C" w:rsidP="001D131F">
            <w:pPr>
              <w:pStyle w:val="RepTable"/>
              <w:keepNext/>
              <w:rPr>
                <w:szCs w:val="20"/>
              </w:rPr>
            </w:pPr>
            <w:r w:rsidRPr="00DA6C18">
              <w:rPr>
                <w:szCs w:val="20"/>
              </w:rPr>
              <w:t>Inspection, irrigation</w:t>
            </w:r>
          </w:p>
          <w:p w:rsidR="008C3F5C" w:rsidRPr="00DA6C18" w:rsidRDefault="008C3F5C" w:rsidP="001D131F">
            <w:pPr>
              <w:pStyle w:val="RepTable"/>
              <w:keepNext/>
              <w:rPr>
                <w:szCs w:val="20"/>
              </w:rPr>
            </w:pPr>
            <w:r w:rsidRPr="00DA6C18">
              <w:rPr>
                <w:szCs w:val="20"/>
              </w:rPr>
              <w:t xml:space="preserve">Outdoor </w:t>
            </w:r>
          </w:p>
          <w:p w:rsidR="008C3F5C" w:rsidRPr="00552111" w:rsidRDefault="008C3F5C" w:rsidP="001D131F">
            <w:pPr>
              <w:pStyle w:val="RepTable"/>
              <w:keepNext/>
              <w:rPr>
                <w:szCs w:val="20"/>
              </w:rPr>
            </w:pPr>
            <w:r w:rsidRPr="00DA6C18">
              <w:rPr>
                <w:szCs w:val="20"/>
              </w:rPr>
              <w:t>Work rate: 2 hours/day,</w:t>
            </w:r>
          </w:p>
          <w:p w:rsidR="008C3F5C" w:rsidRPr="00552111" w:rsidRDefault="008C3F5C" w:rsidP="001D131F">
            <w:pPr>
              <w:pStyle w:val="RepTable"/>
              <w:keepNext/>
              <w:rPr>
                <w:szCs w:val="20"/>
              </w:rPr>
            </w:pPr>
            <w:r w:rsidRPr="00552111">
              <w:rPr>
                <w:szCs w:val="20"/>
              </w:rPr>
              <w:t>DT</w:t>
            </w:r>
            <w:r w:rsidRPr="00552111">
              <w:rPr>
                <w:szCs w:val="20"/>
                <w:vertAlign w:val="subscript"/>
              </w:rPr>
              <w:t>50</w:t>
            </w:r>
            <w:r w:rsidRPr="00552111">
              <w:rPr>
                <w:szCs w:val="20"/>
              </w:rPr>
              <w:t xml:space="preserve">: </w:t>
            </w:r>
            <w:r>
              <w:rPr>
                <w:szCs w:val="20"/>
              </w:rPr>
              <w:t>30</w:t>
            </w:r>
            <w:r w:rsidRPr="00552111">
              <w:rPr>
                <w:szCs w:val="20"/>
              </w:rPr>
              <w:t xml:space="preserve"> days</w:t>
            </w:r>
          </w:p>
          <w:p w:rsidR="008C3F5C" w:rsidRPr="00552111" w:rsidRDefault="008C3F5C" w:rsidP="001D131F">
            <w:pPr>
              <w:pStyle w:val="RepTable"/>
              <w:keepNext/>
              <w:rPr>
                <w:szCs w:val="20"/>
              </w:rPr>
            </w:pPr>
            <w:r w:rsidRPr="00552111">
              <w:rPr>
                <w:szCs w:val="20"/>
              </w:rPr>
              <w:t xml:space="preserve">DFR: </w:t>
            </w:r>
            <w:r>
              <w:rPr>
                <w:szCs w:val="20"/>
              </w:rPr>
              <w:t>3</w:t>
            </w:r>
            <w:r w:rsidRPr="00552111">
              <w:rPr>
                <w:szCs w:val="20"/>
              </w:rPr>
              <w:t xml:space="preserve"> µg/cm</w:t>
            </w:r>
            <w:r w:rsidRPr="00552111">
              <w:rPr>
                <w:szCs w:val="20"/>
                <w:vertAlign w:val="superscript"/>
              </w:rPr>
              <w:t>2</w:t>
            </w:r>
            <w:r w:rsidRPr="00552111">
              <w:rPr>
                <w:szCs w:val="20"/>
              </w:rPr>
              <w:t>/kg a.s./ha</w:t>
            </w:r>
          </w:p>
          <w:p w:rsidR="008C3F5C" w:rsidRPr="00552111" w:rsidRDefault="008C3F5C" w:rsidP="001D131F">
            <w:pPr>
              <w:pStyle w:val="RepTable"/>
              <w:keepNext/>
              <w:rPr>
                <w:szCs w:val="20"/>
              </w:rPr>
            </w:pPr>
            <w:r w:rsidRPr="00552111">
              <w:rPr>
                <w:szCs w:val="20"/>
              </w:rPr>
              <w:t xml:space="preserve">Interval between treatments: </w:t>
            </w:r>
            <w:r>
              <w:rPr>
                <w:szCs w:val="20"/>
              </w:rPr>
              <w:t>365</w:t>
            </w:r>
            <w:r w:rsidRPr="00552111">
              <w:rPr>
                <w:szCs w:val="20"/>
              </w:rPr>
              <w:t xml:space="preserve"> days</w:t>
            </w:r>
          </w:p>
        </w:tc>
      </w:tr>
      <w:tr w:rsidR="008C3F5C" w:rsidRPr="006250F3" w:rsidTr="001D131F">
        <w:tc>
          <w:tcPr>
            <w:tcW w:w="1976" w:type="pct"/>
            <w:gridSpan w:val="2"/>
          </w:tcPr>
          <w:p w:rsidR="008C3F5C" w:rsidRPr="00552111" w:rsidRDefault="008C3F5C" w:rsidP="001D131F">
            <w:pPr>
              <w:pStyle w:val="RepTable"/>
              <w:keepNext/>
              <w:rPr>
                <w:szCs w:val="20"/>
              </w:rPr>
            </w:pPr>
            <w:r w:rsidRPr="00552111">
              <w:rPr>
                <w:szCs w:val="20"/>
              </w:rPr>
              <w:t>Number of applications and application rate</w:t>
            </w:r>
          </w:p>
        </w:tc>
        <w:tc>
          <w:tcPr>
            <w:tcW w:w="1512" w:type="pct"/>
            <w:gridSpan w:val="2"/>
          </w:tcPr>
          <w:p w:rsidR="008C3F5C" w:rsidRPr="009E69D0" w:rsidRDefault="008C3F5C" w:rsidP="001D131F">
            <w:pPr>
              <w:pStyle w:val="RepTable"/>
              <w:keepNext/>
              <w:rPr>
                <w:szCs w:val="20"/>
              </w:rPr>
            </w:pPr>
            <w:r w:rsidRPr="009E69D0">
              <w:rPr>
                <w:szCs w:val="20"/>
              </w:rPr>
              <w:t>1 x </w:t>
            </w:r>
            <w:r w:rsidR="00862912" w:rsidRPr="009E69D0">
              <w:rPr>
                <w:szCs w:val="20"/>
                <w:lang w:val="en-US"/>
              </w:rPr>
              <w:t xml:space="preserve">0.016125 </w:t>
            </w:r>
            <w:r w:rsidRPr="009E69D0">
              <w:rPr>
                <w:szCs w:val="20"/>
              </w:rPr>
              <w:t>kg a.s./ha</w:t>
            </w:r>
          </w:p>
        </w:tc>
        <w:tc>
          <w:tcPr>
            <w:tcW w:w="1512" w:type="pct"/>
            <w:gridSpan w:val="2"/>
          </w:tcPr>
          <w:p w:rsidR="008C3F5C" w:rsidRPr="009E69D0" w:rsidRDefault="008C3F5C" w:rsidP="001D131F">
            <w:pPr>
              <w:pStyle w:val="RepTable"/>
              <w:keepNext/>
              <w:rPr>
                <w:szCs w:val="20"/>
              </w:rPr>
            </w:pPr>
            <w:r w:rsidRPr="009E69D0">
              <w:rPr>
                <w:szCs w:val="20"/>
              </w:rPr>
              <w:t>1 x </w:t>
            </w:r>
            <w:r w:rsidR="00862912" w:rsidRPr="009E69D0">
              <w:rPr>
                <w:szCs w:val="20"/>
                <w:lang w:val="en-US"/>
              </w:rPr>
              <w:t xml:space="preserve">0.0033 </w:t>
            </w:r>
            <w:r w:rsidRPr="009E69D0">
              <w:rPr>
                <w:szCs w:val="20"/>
              </w:rPr>
              <w:t>kg a.s./ha</w:t>
            </w:r>
          </w:p>
        </w:tc>
      </w:tr>
      <w:tr w:rsidR="008C3F5C" w:rsidRPr="006250F3" w:rsidTr="001D131F">
        <w:tc>
          <w:tcPr>
            <w:tcW w:w="934" w:type="pct"/>
            <w:vMerge w:val="restart"/>
          </w:tcPr>
          <w:p w:rsidR="008C3F5C" w:rsidRPr="00552111" w:rsidRDefault="008C3F5C" w:rsidP="001D131F">
            <w:pPr>
              <w:pStyle w:val="RepTable"/>
              <w:keepNext/>
              <w:rPr>
                <w:szCs w:val="20"/>
              </w:rPr>
            </w:pPr>
            <w:r w:rsidRPr="00552111">
              <w:rPr>
                <w:szCs w:val="20"/>
              </w:rPr>
              <w:t>Body weight: 60 kg</w:t>
            </w:r>
          </w:p>
          <w:p w:rsidR="008C3F5C" w:rsidRPr="006250F3" w:rsidRDefault="008C3F5C" w:rsidP="001D131F">
            <w:pPr>
              <w:pStyle w:val="RepTable"/>
              <w:keepNext/>
              <w:rPr>
                <w:szCs w:val="20"/>
                <w:highlight w:val="green"/>
              </w:rPr>
            </w:pPr>
          </w:p>
        </w:tc>
        <w:tc>
          <w:tcPr>
            <w:tcW w:w="1042" w:type="pct"/>
          </w:tcPr>
          <w:p w:rsidR="008C3F5C" w:rsidRPr="00A04D96" w:rsidRDefault="008C3F5C" w:rsidP="001D131F">
            <w:pPr>
              <w:pStyle w:val="RepTable"/>
              <w:keepNext/>
              <w:rPr>
                <w:szCs w:val="20"/>
              </w:rPr>
            </w:pPr>
            <w:r w:rsidRPr="00A04D96">
              <w:rPr>
                <w:szCs w:val="20"/>
              </w:rPr>
              <w:t>Potential</w:t>
            </w:r>
          </w:p>
          <w:p w:rsidR="008C3F5C" w:rsidRPr="00A04D96" w:rsidRDefault="008C3F5C" w:rsidP="001D131F">
            <w:pPr>
              <w:pStyle w:val="RepTable"/>
              <w:keepNext/>
              <w:rPr>
                <w:szCs w:val="20"/>
              </w:rPr>
            </w:pPr>
            <w:r w:rsidRPr="00A04D96">
              <w:rPr>
                <w:szCs w:val="20"/>
              </w:rPr>
              <w:t xml:space="preserve">TC: </w:t>
            </w:r>
            <w:r w:rsidRPr="00A04D96">
              <w:rPr>
                <w:szCs w:val="20"/>
                <w:lang w:val="en-US"/>
              </w:rPr>
              <w:t>12500</w:t>
            </w:r>
            <w:r w:rsidRPr="00A04D96">
              <w:rPr>
                <w:szCs w:val="20"/>
              </w:rPr>
              <w:t xml:space="preserve"> cm</w:t>
            </w:r>
            <w:r w:rsidRPr="00A04D96">
              <w:rPr>
                <w:szCs w:val="20"/>
                <w:vertAlign w:val="superscript"/>
              </w:rPr>
              <w:t>2</w:t>
            </w:r>
            <w:r w:rsidRPr="00A04D96">
              <w:rPr>
                <w:szCs w:val="20"/>
              </w:rPr>
              <w:t xml:space="preserve">/person/h </w:t>
            </w:r>
          </w:p>
        </w:tc>
        <w:tc>
          <w:tcPr>
            <w:tcW w:w="756" w:type="pct"/>
            <w:vAlign w:val="center"/>
          </w:tcPr>
          <w:p w:rsidR="008C3F5C" w:rsidRPr="00552111" w:rsidRDefault="009E69D0" w:rsidP="001D131F">
            <w:pPr>
              <w:pStyle w:val="RepTable"/>
              <w:keepNext/>
              <w:jc w:val="center"/>
              <w:rPr>
                <w:rFonts w:eastAsia="SimSun"/>
                <w:szCs w:val="20"/>
              </w:rPr>
            </w:pPr>
            <w:r w:rsidRPr="009E69D0">
              <w:rPr>
                <w:rFonts w:eastAsia="SimSun"/>
                <w:szCs w:val="20"/>
              </w:rPr>
              <w:t>0.01</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10.9</w:t>
            </w:r>
          </w:p>
        </w:tc>
        <w:tc>
          <w:tcPr>
            <w:tcW w:w="756" w:type="pct"/>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0.003</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5.8</w:t>
            </w:r>
          </w:p>
        </w:tc>
      </w:tr>
      <w:tr w:rsidR="008C3F5C" w:rsidRPr="006250F3" w:rsidTr="001D131F">
        <w:tc>
          <w:tcPr>
            <w:tcW w:w="934" w:type="pct"/>
            <w:vMerge/>
          </w:tcPr>
          <w:p w:rsidR="008C3F5C" w:rsidRPr="006250F3" w:rsidRDefault="008C3F5C" w:rsidP="001D131F">
            <w:pPr>
              <w:pStyle w:val="RepTable"/>
              <w:keepNext/>
              <w:jc w:val="center"/>
              <w:rPr>
                <w:szCs w:val="20"/>
                <w:highlight w:val="green"/>
              </w:rPr>
            </w:pPr>
          </w:p>
        </w:tc>
        <w:tc>
          <w:tcPr>
            <w:tcW w:w="1042" w:type="pct"/>
          </w:tcPr>
          <w:p w:rsidR="008C3F5C" w:rsidRPr="00A04D96" w:rsidRDefault="008C3F5C" w:rsidP="001D131F">
            <w:pPr>
              <w:pStyle w:val="RepTable"/>
              <w:keepNext/>
              <w:rPr>
                <w:szCs w:val="20"/>
                <w:vertAlign w:val="superscript"/>
              </w:rPr>
            </w:pPr>
            <w:r w:rsidRPr="00A04D96">
              <w:rPr>
                <w:szCs w:val="20"/>
              </w:rPr>
              <w:t>Work wear (arms, body and legs covered)</w:t>
            </w:r>
          </w:p>
          <w:p w:rsidR="008C3F5C" w:rsidRPr="00A04D96" w:rsidRDefault="008C3F5C" w:rsidP="001D131F">
            <w:pPr>
              <w:pStyle w:val="RepTable"/>
              <w:keepNext/>
              <w:rPr>
                <w:szCs w:val="20"/>
              </w:rPr>
            </w:pPr>
            <w:r w:rsidRPr="00A04D96">
              <w:rPr>
                <w:szCs w:val="20"/>
              </w:rPr>
              <w:t xml:space="preserve">TC: </w:t>
            </w:r>
            <w:r w:rsidRPr="00A04D96">
              <w:rPr>
                <w:szCs w:val="20"/>
                <w:lang w:val="en-US"/>
              </w:rPr>
              <w:t>1400</w:t>
            </w:r>
            <w:r w:rsidRPr="00A04D96">
              <w:rPr>
                <w:szCs w:val="20"/>
              </w:rPr>
              <w:t xml:space="preserve"> cm</w:t>
            </w:r>
            <w:r w:rsidRPr="00A04D96">
              <w:rPr>
                <w:szCs w:val="20"/>
                <w:vertAlign w:val="superscript"/>
              </w:rPr>
              <w:t>2</w:t>
            </w:r>
            <w:r w:rsidRPr="00A04D96">
              <w:rPr>
                <w:szCs w:val="20"/>
              </w:rPr>
              <w:t>/person/h</w:t>
            </w:r>
          </w:p>
        </w:tc>
        <w:tc>
          <w:tcPr>
            <w:tcW w:w="756" w:type="pct"/>
            <w:vAlign w:val="center"/>
          </w:tcPr>
          <w:p w:rsidR="008C3F5C" w:rsidRPr="00552111" w:rsidRDefault="009E69D0" w:rsidP="001D131F">
            <w:pPr>
              <w:pStyle w:val="RepTable"/>
              <w:keepNext/>
              <w:jc w:val="center"/>
              <w:rPr>
                <w:rFonts w:eastAsia="SimSun"/>
                <w:szCs w:val="20"/>
              </w:rPr>
            </w:pPr>
            <w:r w:rsidRPr="009E69D0">
              <w:rPr>
                <w:rFonts w:eastAsia="SimSun"/>
                <w:szCs w:val="20"/>
              </w:rPr>
              <w:t>0.002</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1.2</w:t>
            </w:r>
          </w:p>
        </w:tc>
        <w:tc>
          <w:tcPr>
            <w:tcW w:w="756" w:type="pct"/>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0.0003</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0.6</w:t>
            </w:r>
          </w:p>
        </w:tc>
      </w:tr>
      <w:tr w:rsidR="008C3F5C" w:rsidRPr="00B32849" w:rsidTr="001D131F">
        <w:tc>
          <w:tcPr>
            <w:tcW w:w="934" w:type="pct"/>
            <w:vMerge/>
          </w:tcPr>
          <w:p w:rsidR="008C3F5C" w:rsidRPr="006250F3" w:rsidRDefault="008C3F5C" w:rsidP="001D131F">
            <w:pPr>
              <w:pStyle w:val="RepTable"/>
              <w:keepNext/>
              <w:jc w:val="center"/>
              <w:rPr>
                <w:szCs w:val="20"/>
                <w:highlight w:val="green"/>
              </w:rPr>
            </w:pPr>
          </w:p>
        </w:tc>
        <w:tc>
          <w:tcPr>
            <w:tcW w:w="1042" w:type="pct"/>
          </w:tcPr>
          <w:p w:rsidR="008C3F5C" w:rsidRPr="00A04D96" w:rsidRDefault="008C3F5C" w:rsidP="001D131F">
            <w:pPr>
              <w:pStyle w:val="RepTable"/>
              <w:keepNext/>
              <w:rPr>
                <w:szCs w:val="20"/>
                <w:vertAlign w:val="superscript"/>
              </w:rPr>
            </w:pPr>
            <w:r w:rsidRPr="00552111">
              <w:rPr>
                <w:szCs w:val="20"/>
              </w:rPr>
              <w:t xml:space="preserve">Work wear (arms, </w:t>
            </w:r>
            <w:r w:rsidRPr="00A04D96">
              <w:rPr>
                <w:szCs w:val="20"/>
              </w:rPr>
              <w:t>body and legs covered) and gloves</w:t>
            </w:r>
          </w:p>
          <w:p w:rsidR="008C3F5C" w:rsidRPr="00552111" w:rsidRDefault="008C3F5C" w:rsidP="001D131F">
            <w:pPr>
              <w:pStyle w:val="RepTable"/>
              <w:keepNext/>
              <w:rPr>
                <w:szCs w:val="20"/>
              </w:rPr>
            </w:pPr>
            <w:r w:rsidRPr="00A04D96">
              <w:rPr>
                <w:szCs w:val="20"/>
              </w:rPr>
              <w:t xml:space="preserve">TC: </w:t>
            </w:r>
            <w:r w:rsidRPr="00A04D96">
              <w:rPr>
                <w:szCs w:val="20"/>
                <w:lang w:val="en-US"/>
              </w:rPr>
              <w:t>1250</w:t>
            </w:r>
            <w:r w:rsidRPr="00552111">
              <w:rPr>
                <w:szCs w:val="20"/>
              </w:rPr>
              <w:t xml:space="preserve"> cm</w:t>
            </w:r>
            <w:r w:rsidRPr="00552111">
              <w:rPr>
                <w:szCs w:val="20"/>
                <w:vertAlign w:val="superscript"/>
              </w:rPr>
              <w:t>2</w:t>
            </w:r>
            <w:r w:rsidRPr="00552111">
              <w:rPr>
                <w:szCs w:val="20"/>
              </w:rPr>
              <w:t>/person/h</w:t>
            </w:r>
          </w:p>
        </w:tc>
        <w:tc>
          <w:tcPr>
            <w:tcW w:w="756" w:type="pct"/>
            <w:vAlign w:val="center"/>
          </w:tcPr>
          <w:p w:rsidR="008C3F5C" w:rsidRPr="00552111" w:rsidRDefault="009E69D0" w:rsidP="001D131F">
            <w:pPr>
              <w:pStyle w:val="RepTable"/>
              <w:keepNext/>
              <w:jc w:val="center"/>
              <w:rPr>
                <w:rFonts w:eastAsia="SimSun"/>
                <w:szCs w:val="20"/>
              </w:rPr>
            </w:pPr>
            <w:r w:rsidRPr="009E69D0">
              <w:rPr>
                <w:rFonts w:eastAsia="SimSun"/>
                <w:szCs w:val="20"/>
              </w:rPr>
              <w:t>0.001</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1.1</w:t>
            </w:r>
          </w:p>
        </w:tc>
        <w:tc>
          <w:tcPr>
            <w:tcW w:w="756" w:type="pct"/>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0.0003</w:t>
            </w:r>
          </w:p>
        </w:tc>
        <w:tc>
          <w:tcPr>
            <w:tcW w:w="756" w:type="pct"/>
            <w:shd w:val="clear" w:color="auto" w:fill="EAF1DD" w:themeFill="accent3" w:themeFillTint="33"/>
            <w:vAlign w:val="center"/>
          </w:tcPr>
          <w:p w:rsidR="008C3F5C" w:rsidRPr="00552111" w:rsidRDefault="009E69D0" w:rsidP="001D131F">
            <w:pPr>
              <w:pStyle w:val="RepTable"/>
              <w:keepNext/>
              <w:jc w:val="center"/>
              <w:rPr>
                <w:rFonts w:eastAsia="SimSun"/>
                <w:szCs w:val="20"/>
                <w:lang w:eastAsia="en-US"/>
              </w:rPr>
            </w:pPr>
            <w:r w:rsidRPr="009E69D0">
              <w:rPr>
                <w:rFonts w:eastAsia="SimSun"/>
                <w:szCs w:val="20"/>
                <w:lang w:eastAsia="en-US"/>
              </w:rPr>
              <w:t>0.6</w:t>
            </w:r>
          </w:p>
        </w:tc>
      </w:tr>
    </w:tbl>
    <w:p w:rsidR="008C3F5C" w:rsidRDefault="008C3F5C" w:rsidP="008C3F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896"/>
        <w:gridCol w:w="2698"/>
        <w:gridCol w:w="2438"/>
        <w:gridCol w:w="2440"/>
      </w:tblGrid>
      <w:tr w:rsidR="008C3F5C" w:rsidRPr="00B32849" w:rsidTr="001D131F">
        <w:tc>
          <w:tcPr>
            <w:tcW w:w="1001" w:type="pct"/>
            <w:vAlign w:val="center"/>
          </w:tcPr>
          <w:p w:rsidR="008C3F5C" w:rsidRPr="00B32849" w:rsidRDefault="008C3F5C" w:rsidP="001D131F">
            <w:pPr>
              <w:pStyle w:val="RepTableHeader"/>
              <w:jc w:val="center"/>
              <w:rPr>
                <w:lang w:val="en-GB"/>
              </w:rPr>
            </w:pPr>
            <w:bookmarkStart w:id="347" w:name="_Toc450900955"/>
            <w:bookmarkStart w:id="348" w:name="_Toc450920621"/>
            <w:bookmarkStart w:id="349" w:name="_Toc450923742"/>
            <w:bookmarkStart w:id="350" w:name="_Toc454460975"/>
            <w:bookmarkStart w:id="351" w:name="_Toc454462811"/>
          </w:p>
        </w:tc>
        <w:tc>
          <w:tcPr>
            <w:tcW w:w="1424" w:type="pct"/>
            <w:vAlign w:val="center"/>
          </w:tcPr>
          <w:p w:rsidR="008C3F5C" w:rsidRPr="00B32849" w:rsidRDefault="008C3F5C" w:rsidP="001D131F">
            <w:pPr>
              <w:pStyle w:val="RepTableHeader"/>
              <w:jc w:val="center"/>
              <w:rPr>
                <w:lang w:val="en-GB"/>
              </w:rPr>
            </w:pPr>
          </w:p>
        </w:tc>
        <w:tc>
          <w:tcPr>
            <w:tcW w:w="2575" w:type="pct"/>
            <w:gridSpan w:val="2"/>
            <w:vAlign w:val="center"/>
          </w:tcPr>
          <w:p w:rsidR="008C3F5C" w:rsidRPr="00B32849" w:rsidRDefault="008C3F5C" w:rsidP="001D131F">
            <w:pPr>
              <w:pStyle w:val="RepTableHeader"/>
              <w:jc w:val="center"/>
              <w:rPr>
                <w:lang w:val="en-GB"/>
              </w:rPr>
            </w:pPr>
            <w:proofErr w:type="spellStart"/>
            <w:r w:rsidRPr="00425D6E">
              <w:rPr>
                <w:bCs/>
              </w:rPr>
              <w:t>Mefenpyr</w:t>
            </w:r>
            <w:proofErr w:type="spellEnd"/>
            <w:r w:rsidRPr="00425D6E">
              <w:rPr>
                <w:bCs/>
              </w:rPr>
              <w:t>-diethyl</w:t>
            </w:r>
          </w:p>
        </w:tc>
      </w:tr>
      <w:tr w:rsidR="008C3F5C" w:rsidRPr="00B32849" w:rsidTr="001D131F">
        <w:tc>
          <w:tcPr>
            <w:tcW w:w="1001" w:type="pct"/>
          </w:tcPr>
          <w:p w:rsidR="008C3F5C" w:rsidRPr="00B32849" w:rsidRDefault="008C3F5C" w:rsidP="001D131F">
            <w:pPr>
              <w:pStyle w:val="RepTableHeader"/>
              <w:rPr>
                <w:lang w:val="en-GB"/>
              </w:rPr>
            </w:pPr>
            <w:r w:rsidRPr="00B32849">
              <w:rPr>
                <w:lang w:val="en-GB"/>
              </w:rPr>
              <w:t>Model data</w:t>
            </w:r>
          </w:p>
        </w:tc>
        <w:tc>
          <w:tcPr>
            <w:tcW w:w="1424" w:type="pct"/>
          </w:tcPr>
          <w:p w:rsidR="008C3F5C" w:rsidRPr="00B32849" w:rsidRDefault="008C3F5C" w:rsidP="001D131F">
            <w:pPr>
              <w:pStyle w:val="RepTableHeader"/>
              <w:rPr>
                <w:lang w:val="en-GB"/>
              </w:rPr>
            </w:pPr>
            <w:r w:rsidRPr="00B32849">
              <w:rPr>
                <w:lang w:val="en-GB"/>
              </w:rPr>
              <w:t>Level of PPE</w:t>
            </w:r>
          </w:p>
        </w:tc>
        <w:tc>
          <w:tcPr>
            <w:tcW w:w="1287" w:type="pct"/>
          </w:tcPr>
          <w:p w:rsidR="008C3F5C" w:rsidRPr="00B32849" w:rsidRDefault="008C3F5C" w:rsidP="001D131F">
            <w:pPr>
              <w:pStyle w:val="RepTableHeader"/>
              <w:jc w:val="center"/>
              <w:rPr>
                <w:lang w:val="en-GB"/>
              </w:rPr>
            </w:pPr>
            <w:r w:rsidRPr="00B32849">
              <w:rPr>
                <w:lang w:val="en-GB"/>
              </w:rPr>
              <w:t>Total absorbed dose (mg/kg</w:t>
            </w:r>
            <w:r>
              <w:rPr>
                <w:lang w:val="en-GB"/>
              </w:rPr>
              <w:t xml:space="preserve"> </w:t>
            </w:r>
            <w:proofErr w:type="spellStart"/>
            <w:r w:rsidRPr="00552111">
              <w:rPr>
                <w:lang w:val="en-GB"/>
              </w:rPr>
              <w:t>bw</w:t>
            </w:r>
            <w:proofErr w:type="spellEnd"/>
            <w:r w:rsidRPr="00B32849">
              <w:rPr>
                <w:lang w:val="en-GB"/>
              </w:rPr>
              <w:t>/day)</w:t>
            </w:r>
          </w:p>
        </w:tc>
        <w:tc>
          <w:tcPr>
            <w:tcW w:w="1288" w:type="pct"/>
          </w:tcPr>
          <w:p w:rsidR="008C3F5C" w:rsidRPr="00B32849" w:rsidRDefault="008C3F5C" w:rsidP="001D131F">
            <w:pPr>
              <w:pStyle w:val="RepTableHeader"/>
              <w:jc w:val="center"/>
              <w:rPr>
                <w:lang w:val="en-GB"/>
              </w:rPr>
            </w:pPr>
            <w:r w:rsidRPr="00B32849">
              <w:rPr>
                <w:lang w:val="en-GB"/>
              </w:rPr>
              <w:t>% of systemic AOEL</w:t>
            </w:r>
          </w:p>
        </w:tc>
      </w:tr>
      <w:tr w:rsidR="008C3F5C" w:rsidRPr="00B32849" w:rsidTr="001D131F">
        <w:tc>
          <w:tcPr>
            <w:tcW w:w="5000" w:type="pct"/>
            <w:gridSpan w:val="4"/>
          </w:tcPr>
          <w:p w:rsidR="008C3F5C" w:rsidRPr="00DA6C18" w:rsidRDefault="008C3F5C" w:rsidP="001D131F">
            <w:pPr>
              <w:pStyle w:val="RepTable"/>
              <w:keepNext/>
              <w:rPr>
                <w:szCs w:val="20"/>
              </w:rPr>
            </w:pPr>
            <w:r w:rsidRPr="00DA6C18">
              <w:rPr>
                <w:szCs w:val="20"/>
              </w:rPr>
              <w:t>Inspection, irrigation</w:t>
            </w:r>
          </w:p>
          <w:p w:rsidR="008C3F5C" w:rsidRPr="00DA6C18" w:rsidRDefault="008C3F5C" w:rsidP="001D131F">
            <w:pPr>
              <w:pStyle w:val="RepTable"/>
              <w:keepNext/>
              <w:rPr>
                <w:szCs w:val="20"/>
              </w:rPr>
            </w:pPr>
            <w:r w:rsidRPr="00DA6C18">
              <w:rPr>
                <w:szCs w:val="20"/>
              </w:rPr>
              <w:t xml:space="preserve">Outdoor </w:t>
            </w:r>
          </w:p>
          <w:p w:rsidR="008C3F5C" w:rsidRPr="00552111" w:rsidRDefault="008C3F5C" w:rsidP="001D131F">
            <w:pPr>
              <w:pStyle w:val="RepTable"/>
              <w:keepNext/>
              <w:rPr>
                <w:szCs w:val="20"/>
              </w:rPr>
            </w:pPr>
            <w:r w:rsidRPr="00DA6C18">
              <w:rPr>
                <w:szCs w:val="20"/>
              </w:rPr>
              <w:t>Work rate: 2 hours/day,</w:t>
            </w:r>
          </w:p>
          <w:p w:rsidR="008C3F5C" w:rsidRPr="00552111" w:rsidRDefault="008C3F5C" w:rsidP="001D131F">
            <w:pPr>
              <w:pStyle w:val="RepTable"/>
              <w:keepNext/>
              <w:rPr>
                <w:szCs w:val="20"/>
              </w:rPr>
            </w:pPr>
            <w:r w:rsidRPr="00552111">
              <w:rPr>
                <w:szCs w:val="20"/>
              </w:rPr>
              <w:t>DT</w:t>
            </w:r>
            <w:r w:rsidRPr="00552111">
              <w:rPr>
                <w:szCs w:val="20"/>
                <w:vertAlign w:val="subscript"/>
              </w:rPr>
              <w:t>50</w:t>
            </w:r>
            <w:r w:rsidRPr="00552111">
              <w:rPr>
                <w:szCs w:val="20"/>
              </w:rPr>
              <w:t xml:space="preserve">: </w:t>
            </w:r>
            <w:r>
              <w:rPr>
                <w:szCs w:val="20"/>
              </w:rPr>
              <w:t>30</w:t>
            </w:r>
            <w:r w:rsidRPr="00552111">
              <w:rPr>
                <w:szCs w:val="20"/>
              </w:rPr>
              <w:t xml:space="preserve"> days</w:t>
            </w:r>
          </w:p>
          <w:p w:rsidR="008C3F5C" w:rsidRPr="00552111" w:rsidRDefault="008C3F5C" w:rsidP="001D131F">
            <w:pPr>
              <w:pStyle w:val="RepTable"/>
              <w:keepNext/>
              <w:rPr>
                <w:szCs w:val="20"/>
              </w:rPr>
            </w:pPr>
            <w:r w:rsidRPr="00552111">
              <w:rPr>
                <w:szCs w:val="20"/>
              </w:rPr>
              <w:t xml:space="preserve">DFR: </w:t>
            </w:r>
            <w:r>
              <w:rPr>
                <w:szCs w:val="20"/>
              </w:rPr>
              <w:t>3</w:t>
            </w:r>
            <w:r w:rsidRPr="00552111">
              <w:rPr>
                <w:szCs w:val="20"/>
              </w:rPr>
              <w:t xml:space="preserve"> µg/cm</w:t>
            </w:r>
            <w:r w:rsidRPr="00552111">
              <w:rPr>
                <w:szCs w:val="20"/>
                <w:vertAlign w:val="superscript"/>
              </w:rPr>
              <w:t>2</w:t>
            </w:r>
            <w:r w:rsidRPr="00552111">
              <w:rPr>
                <w:szCs w:val="20"/>
              </w:rPr>
              <w:t>/kg a.s./ha</w:t>
            </w:r>
          </w:p>
          <w:p w:rsidR="008C3F5C" w:rsidRPr="000F21F8" w:rsidRDefault="008C3F5C" w:rsidP="001D131F">
            <w:pPr>
              <w:pStyle w:val="RepTable"/>
              <w:keepNext/>
              <w:rPr>
                <w:szCs w:val="20"/>
                <w:highlight w:val="green"/>
              </w:rPr>
            </w:pPr>
            <w:r w:rsidRPr="00552111">
              <w:rPr>
                <w:szCs w:val="20"/>
              </w:rPr>
              <w:t xml:space="preserve">Interval between treatments: </w:t>
            </w:r>
            <w:r>
              <w:rPr>
                <w:szCs w:val="20"/>
              </w:rPr>
              <w:t>365</w:t>
            </w:r>
            <w:r w:rsidRPr="00552111">
              <w:rPr>
                <w:szCs w:val="20"/>
              </w:rPr>
              <w:t xml:space="preserve"> days</w:t>
            </w:r>
          </w:p>
        </w:tc>
      </w:tr>
      <w:tr w:rsidR="008C3F5C" w:rsidRPr="00B32849" w:rsidTr="001D131F">
        <w:tc>
          <w:tcPr>
            <w:tcW w:w="2425" w:type="pct"/>
            <w:gridSpan w:val="2"/>
          </w:tcPr>
          <w:p w:rsidR="008C3F5C" w:rsidRPr="00377E46" w:rsidRDefault="008C3F5C" w:rsidP="001D131F">
            <w:pPr>
              <w:pStyle w:val="RepTable"/>
              <w:keepNext/>
              <w:rPr>
                <w:szCs w:val="20"/>
                <w:highlight w:val="green"/>
                <w:lang w:val="en-US"/>
              </w:rPr>
            </w:pPr>
            <w:r w:rsidRPr="00552111">
              <w:rPr>
                <w:szCs w:val="20"/>
              </w:rPr>
              <w:t>Number of applications and application rate</w:t>
            </w:r>
          </w:p>
        </w:tc>
        <w:tc>
          <w:tcPr>
            <w:tcW w:w="2575" w:type="pct"/>
            <w:gridSpan w:val="2"/>
          </w:tcPr>
          <w:p w:rsidR="008C3F5C" w:rsidRPr="000F21F8" w:rsidRDefault="008C3F5C" w:rsidP="001D131F">
            <w:pPr>
              <w:pStyle w:val="RepTable"/>
              <w:keepNext/>
              <w:rPr>
                <w:szCs w:val="20"/>
                <w:highlight w:val="green"/>
              </w:rPr>
            </w:pPr>
            <w:r w:rsidRPr="009E69D0">
              <w:rPr>
                <w:szCs w:val="20"/>
              </w:rPr>
              <w:t>1 x </w:t>
            </w:r>
            <w:r w:rsidRPr="009E69D0">
              <w:rPr>
                <w:szCs w:val="20"/>
                <w:lang w:val="en-US"/>
              </w:rPr>
              <w:t xml:space="preserve">0.04785 </w:t>
            </w:r>
            <w:r w:rsidRPr="009E69D0">
              <w:rPr>
                <w:szCs w:val="20"/>
              </w:rPr>
              <w:t>kg a.s./ha</w:t>
            </w:r>
          </w:p>
        </w:tc>
      </w:tr>
      <w:tr w:rsidR="008C3F5C" w:rsidRPr="00B32849" w:rsidTr="001D131F">
        <w:tc>
          <w:tcPr>
            <w:tcW w:w="1001" w:type="pct"/>
            <w:vMerge w:val="restart"/>
          </w:tcPr>
          <w:p w:rsidR="008C3F5C" w:rsidRPr="00552111" w:rsidRDefault="008C3F5C" w:rsidP="001D131F">
            <w:pPr>
              <w:pStyle w:val="RepTable"/>
              <w:keepNext/>
              <w:rPr>
                <w:szCs w:val="20"/>
              </w:rPr>
            </w:pPr>
            <w:r w:rsidRPr="00552111">
              <w:rPr>
                <w:szCs w:val="20"/>
              </w:rPr>
              <w:t>Body weight: 60 kg</w:t>
            </w:r>
          </w:p>
          <w:p w:rsidR="008C3F5C" w:rsidRPr="00552111" w:rsidRDefault="008C3F5C" w:rsidP="001D131F">
            <w:pPr>
              <w:pStyle w:val="RepTable"/>
              <w:keepNext/>
              <w:rPr>
                <w:szCs w:val="20"/>
              </w:rPr>
            </w:pPr>
          </w:p>
        </w:tc>
        <w:tc>
          <w:tcPr>
            <w:tcW w:w="1424" w:type="pct"/>
          </w:tcPr>
          <w:p w:rsidR="008C3F5C" w:rsidRPr="00A04D96" w:rsidRDefault="008C3F5C" w:rsidP="001D131F">
            <w:pPr>
              <w:pStyle w:val="RepTable"/>
              <w:keepNext/>
              <w:rPr>
                <w:szCs w:val="20"/>
              </w:rPr>
            </w:pPr>
            <w:r w:rsidRPr="00A04D96">
              <w:rPr>
                <w:szCs w:val="20"/>
              </w:rPr>
              <w:t>Potential</w:t>
            </w:r>
          </w:p>
          <w:p w:rsidR="008C3F5C" w:rsidRPr="00A04D96" w:rsidRDefault="008C3F5C" w:rsidP="001D131F">
            <w:pPr>
              <w:pStyle w:val="RepTable"/>
              <w:keepNext/>
              <w:rPr>
                <w:szCs w:val="20"/>
              </w:rPr>
            </w:pPr>
            <w:r w:rsidRPr="00A04D96">
              <w:rPr>
                <w:szCs w:val="20"/>
              </w:rPr>
              <w:t xml:space="preserve">TC: </w:t>
            </w:r>
            <w:r w:rsidRPr="00A04D96">
              <w:rPr>
                <w:szCs w:val="20"/>
                <w:lang w:val="en-US"/>
              </w:rPr>
              <w:t>12500</w:t>
            </w:r>
            <w:r w:rsidRPr="00A04D96">
              <w:rPr>
                <w:szCs w:val="20"/>
              </w:rPr>
              <w:t xml:space="preserve"> cm</w:t>
            </w:r>
            <w:r w:rsidRPr="00A04D96">
              <w:rPr>
                <w:szCs w:val="20"/>
                <w:vertAlign w:val="superscript"/>
              </w:rPr>
              <w:t>2</w:t>
            </w:r>
            <w:r w:rsidRPr="00A04D96">
              <w:rPr>
                <w:szCs w:val="20"/>
              </w:rPr>
              <w:t xml:space="preserve">/person/h </w:t>
            </w:r>
          </w:p>
        </w:tc>
        <w:tc>
          <w:tcPr>
            <w:tcW w:w="1287" w:type="pct"/>
            <w:vAlign w:val="center"/>
          </w:tcPr>
          <w:p w:rsidR="008C3F5C" w:rsidRPr="00B32849" w:rsidRDefault="009E69D0" w:rsidP="001D131F">
            <w:pPr>
              <w:pStyle w:val="RepTable"/>
              <w:keepNext/>
              <w:jc w:val="center"/>
              <w:rPr>
                <w:rFonts w:eastAsia="SimSun"/>
                <w:szCs w:val="20"/>
              </w:rPr>
            </w:pPr>
            <w:r w:rsidRPr="009E69D0">
              <w:rPr>
                <w:rFonts w:eastAsia="SimSun"/>
                <w:szCs w:val="20"/>
              </w:rPr>
              <w:t>0.04</w:t>
            </w:r>
          </w:p>
        </w:tc>
        <w:tc>
          <w:tcPr>
            <w:tcW w:w="1288" w:type="pct"/>
            <w:shd w:val="clear" w:color="auto" w:fill="EAF1DD" w:themeFill="accent3" w:themeFillTint="33"/>
            <w:vAlign w:val="center"/>
          </w:tcPr>
          <w:p w:rsidR="008C3F5C" w:rsidRPr="00B32849" w:rsidRDefault="009E69D0" w:rsidP="001D131F">
            <w:pPr>
              <w:pStyle w:val="RepTable"/>
              <w:keepNext/>
              <w:jc w:val="center"/>
              <w:rPr>
                <w:rFonts w:eastAsia="SimSun"/>
                <w:szCs w:val="20"/>
                <w:lang w:eastAsia="en-US"/>
              </w:rPr>
            </w:pPr>
            <w:r w:rsidRPr="009E69D0">
              <w:rPr>
                <w:rFonts w:eastAsia="SimSun"/>
                <w:szCs w:val="20"/>
                <w:lang w:eastAsia="en-US"/>
              </w:rPr>
              <w:t>41.9</w:t>
            </w:r>
          </w:p>
        </w:tc>
      </w:tr>
      <w:tr w:rsidR="008C3F5C" w:rsidRPr="00B32849" w:rsidTr="001D131F">
        <w:tc>
          <w:tcPr>
            <w:tcW w:w="1001" w:type="pct"/>
            <w:vMerge/>
          </w:tcPr>
          <w:p w:rsidR="008C3F5C" w:rsidRPr="00552111" w:rsidRDefault="008C3F5C" w:rsidP="001D131F">
            <w:pPr>
              <w:pStyle w:val="RepTable"/>
              <w:keepNext/>
              <w:jc w:val="center"/>
              <w:rPr>
                <w:szCs w:val="20"/>
              </w:rPr>
            </w:pPr>
          </w:p>
        </w:tc>
        <w:tc>
          <w:tcPr>
            <w:tcW w:w="1424" w:type="pct"/>
          </w:tcPr>
          <w:p w:rsidR="008C3F5C" w:rsidRPr="00A04D96" w:rsidRDefault="008C3F5C" w:rsidP="001D131F">
            <w:pPr>
              <w:pStyle w:val="RepTable"/>
              <w:keepNext/>
              <w:rPr>
                <w:szCs w:val="20"/>
                <w:vertAlign w:val="superscript"/>
              </w:rPr>
            </w:pPr>
            <w:r w:rsidRPr="00A04D96">
              <w:rPr>
                <w:szCs w:val="20"/>
              </w:rPr>
              <w:t>Work wear (arms, body and legs covered)</w:t>
            </w:r>
          </w:p>
          <w:p w:rsidR="008C3F5C" w:rsidRPr="00A04D96" w:rsidRDefault="008C3F5C" w:rsidP="001D131F">
            <w:pPr>
              <w:pStyle w:val="RepTable"/>
              <w:keepNext/>
              <w:rPr>
                <w:szCs w:val="20"/>
              </w:rPr>
            </w:pPr>
            <w:r w:rsidRPr="00A04D96">
              <w:rPr>
                <w:szCs w:val="20"/>
              </w:rPr>
              <w:t xml:space="preserve">TC: </w:t>
            </w:r>
            <w:r w:rsidRPr="00A04D96">
              <w:rPr>
                <w:szCs w:val="20"/>
                <w:lang w:val="en-US"/>
              </w:rPr>
              <w:t>1400</w:t>
            </w:r>
            <w:r w:rsidRPr="00A04D96">
              <w:rPr>
                <w:szCs w:val="20"/>
              </w:rPr>
              <w:t xml:space="preserve"> cm</w:t>
            </w:r>
            <w:r w:rsidRPr="00A04D96">
              <w:rPr>
                <w:szCs w:val="20"/>
                <w:vertAlign w:val="superscript"/>
              </w:rPr>
              <w:t>2</w:t>
            </w:r>
            <w:r w:rsidRPr="00A04D96">
              <w:rPr>
                <w:szCs w:val="20"/>
              </w:rPr>
              <w:t>/person/h</w:t>
            </w:r>
          </w:p>
        </w:tc>
        <w:tc>
          <w:tcPr>
            <w:tcW w:w="1287" w:type="pct"/>
            <w:vAlign w:val="center"/>
          </w:tcPr>
          <w:p w:rsidR="008C3F5C" w:rsidRPr="00B32849" w:rsidRDefault="009E69D0" w:rsidP="001D131F">
            <w:pPr>
              <w:pStyle w:val="RepTable"/>
              <w:keepNext/>
              <w:jc w:val="center"/>
              <w:rPr>
                <w:rFonts w:eastAsia="SimSun"/>
                <w:szCs w:val="20"/>
              </w:rPr>
            </w:pPr>
            <w:r w:rsidRPr="009E69D0">
              <w:rPr>
                <w:rFonts w:eastAsia="SimSun"/>
                <w:szCs w:val="20"/>
              </w:rPr>
              <w:t>0.005</w:t>
            </w:r>
          </w:p>
        </w:tc>
        <w:tc>
          <w:tcPr>
            <w:tcW w:w="1288" w:type="pct"/>
            <w:shd w:val="clear" w:color="auto" w:fill="EAF1DD" w:themeFill="accent3" w:themeFillTint="33"/>
            <w:vAlign w:val="center"/>
          </w:tcPr>
          <w:p w:rsidR="008C3F5C" w:rsidRPr="00B32849" w:rsidRDefault="009E69D0" w:rsidP="001D131F">
            <w:pPr>
              <w:pStyle w:val="RepTable"/>
              <w:keepNext/>
              <w:jc w:val="center"/>
              <w:rPr>
                <w:rFonts w:eastAsia="SimSun"/>
                <w:szCs w:val="20"/>
                <w:lang w:eastAsia="en-US"/>
              </w:rPr>
            </w:pPr>
            <w:r w:rsidRPr="009E69D0">
              <w:rPr>
                <w:rFonts w:eastAsia="SimSun"/>
                <w:szCs w:val="20"/>
                <w:lang w:eastAsia="en-US"/>
              </w:rPr>
              <w:t>4.7</w:t>
            </w:r>
          </w:p>
        </w:tc>
      </w:tr>
      <w:tr w:rsidR="008C3F5C" w:rsidRPr="00B32849" w:rsidTr="001D131F">
        <w:tc>
          <w:tcPr>
            <w:tcW w:w="1001" w:type="pct"/>
            <w:vMerge/>
          </w:tcPr>
          <w:p w:rsidR="008C3F5C" w:rsidRPr="00552111" w:rsidRDefault="008C3F5C" w:rsidP="001D131F">
            <w:pPr>
              <w:pStyle w:val="RepTable"/>
              <w:keepNext/>
              <w:jc w:val="center"/>
              <w:rPr>
                <w:szCs w:val="20"/>
              </w:rPr>
            </w:pPr>
          </w:p>
        </w:tc>
        <w:tc>
          <w:tcPr>
            <w:tcW w:w="1424" w:type="pct"/>
          </w:tcPr>
          <w:p w:rsidR="008C3F5C" w:rsidRPr="00A04D96" w:rsidRDefault="008C3F5C" w:rsidP="001D131F">
            <w:pPr>
              <w:pStyle w:val="RepTable"/>
              <w:keepNext/>
              <w:rPr>
                <w:szCs w:val="20"/>
                <w:vertAlign w:val="superscript"/>
              </w:rPr>
            </w:pPr>
            <w:r w:rsidRPr="00A04D96">
              <w:rPr>
                <w:szCs w:val="20"/>
              </w:rPr>
              <w:t>Work wear (arms, body and legs covered) and gloves</w:t>
            </w:r>
          </w:p>
          <w:p w:rsidR="008C3F5C" w:rsidRPr="00A04D96" w:rsidRDefault="008C3F5C" w:rsidP="001D131F">
            <w:pPr>
              <w:pStyle w:val="RepTable"/>
              <w:keepNext/>
              <w:rPr>
                <w:szCs w:val="20"/>
              </w:rPr>
            </w:pPr>
            <w:r w:rsidRPr="00A04D96">
              <w:rPr>
                <w:szCs w:val="20"/>
              </w:rPr>
              <w:t xml:space="preserve">TC: </w:t>
            </w:r>
            <w:r w:rsidRPr="00A04D96">
              <w:rPr>
                <w:szCs w:val="20"/>
                <w:lang w:val="en-US"/>
              </w:rPr>
              <w:t>1250</w:t>
            </w:r>
            <w:r w:rsidRPr="00A04D96">
              <w:rPr>
                <w:szCs w:val="20"/>
              </w:rPr>
              <w:t xml:space="preserve"> cm</w:t>
            </w:r>
            <w:r w:rsidRPr="00A04D96">
              <w:rPr>
                <w:szCs w:val="20"/>
                <w:vertAlign w:val="superscript"/>
              </w:rPr>
              <w:t>2</w:t>
            </w:r>
            <w:r w:rsidRPr="00A04D96">
              <w:rPr>
                <w:szCs w:val="20"/>
              </w:rPr>
              <w:t>/person/h</w:t>
            </w:r>
          </w:p>
        </w:tc>
        <w:tc>
          <w:tcPr>
            <w:tcW w:w="1287" w:type="pct"/>
            <w:vAlign w:val="center"/>
          </w:tcPr>
          <w:p w:rsidR="008C3F5C" w:rsidRPr="00B32849" w:rsidRDefault="009E69D0" w:rsidP="001D131F">
            <w:pPr>
              <w:pStyle w:val="RepTable"/>
              <w:keepNext/>
              <w:jc w:val="center"/>
              <w:rPr>
                <w:rFonts w:eastAsia="SimSun"/>
                <w:szCs w:val="20"/>
              </w:rPr>
            </w:pPr>
            <w:r w:rsidRPr="009E69D0">
              <w:rPr>
                <w:rFonts w:eastAsia="SimSun"/>
                <w:szCs w:val="20"/>
              </w:rPr>
              <w:t>0.004</w:t>
            </w:r>
          </w:p>
        </w:tc>
        <w:tc>
          <w:tcPr>
            <w:tcW w:w="1288" w:type="pct"/>
            <w:shd w:val="clear" w:color="auto" w:fill="EAF1DD" w:themeFill="accent3" w:themeFillTint="33"/>
            <w:vAlign w:val="center"/>
          </w:tcPr>
          <w:p w:rsidR="008C3F5C" w:rsidRPr="00B32849" w:rsidRDefault="009E69D0" w:rsidP="001D131F">
            <w:pPr>
              <w:pStyle w:val="RepTable"/>
              <w:keepNext/>
              <w:jc w:val="center"/>
              <w:rPr>
                <w:rFonts w:eastAsia="SimSun"/>
                <w:szCs w:val="20"/>
                <w:lang w:eastAsia="en-US"/>
              </w:rPr>
            </w:pPr>
            <w:r w:rsidRPr="009E69D0">
              <w:rPr>
                <w:rFonts w:eastAsia="SimSun"/>
                <w:szCs w:val="20"/>
                <w:lang w:eastAsia="en-US"/>
              </w:rPr>
              <w:t>4.2</w:t>
            </w:r>
          </w:p>
        </w:tc>
      </w:tr>
    </w:tbl>
    <w:p w:rsidR="008C3F5C" w:rsidRDefault="008C3F5C" w:rsidP="008C3F5C"/>
    <w:p w:rsidR="00804FA9" w:rsidRPr="00804FA9" w:rsidRDefault="00804FA9" w:rsidP="00990869">
      <w:pPr>
        <w:shd w:val="clear" w:color="auto" w:fill="00FF00"/>
        <w:rPr>
          <w:b/>
          <w:sz w:val="24"/>
          <w:szCs w:val="24"/>
        </w:rPr>
      </w:pPr>
      <w:r w:rsidRPr="00990869">
        <w:rPr>
          <w:b/>
          <w:sz w:val="24"/>
          <w:szCs w:val="24"/>
          <w:highlight w:val="green"/>
        </w:rPr>
        <w:t>The assessment of worker exposure carried out indicated that the permissible operator exposure level (AOEL) would not be exceeded under the conditions of intended use when personal protective equipment is used.</w:t>
      </w:r>
    </w:p>
    <w:p w:rsidR="008C3F5C" w:rsidRPr="00B32849" w:rsidRDefault="008C3F5C" w:rsidP="008C3F5C">
      <w:pPr>
        <w:pStyle w:val="Nagwek4"/>
        <w:rPr>
          <w:lang w:val="en-GB"/>
        </w:rPr>
      </w:pPr>
      <w:bookmarkStart w:id="352" w:name="_Toc138229969"/>
      <w:bookmarkStart w:id="353" w:name="_Toc179811302"/>
      <w:r w:rsidRPr="00B32849">
        <w:rPr>
          <w:lang w:val="en-GB"/>
        </w:rPr>
        <w:lastRenderedPageBreak/>
        <w:t>Refinement of generic DFR value (KCP 7.2)</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8C3F5C" w:rsidRPr="00B32849" w:rsidRDefault="008C3F5C" w:rsidP="008C3F5C">
      <w:pPr>
        <w:pStyle w:val="RepStandard"/>
        <w:suppressAutoHyphens/>
      </w:pPr>
      <w:r w:rsidRPr="00F61F3D">
        <w:t>In accordance with the EFSA guidance document, where experimentally determined DFR data are not available, the initial DFR in a first-tier assessment should assume 3µg a.s./cm</w:t>
      </w:r>
      <w:r w:rsidRPr="00F61F3D">
        <w:rPr>
          <w:vertAlign w:val="superscript"/>
        </w:rPr>
        <w:t>2</w:t>
      </w:r>
      <w:r w:rsidRPr="00F61F3D">
        <w:t xml:space="preserve"> per kg of foliage. As the risk assessment passes at the first tier, the DFR has not been refined.</w:t>
      </w:r>
    </w:p>
    <w:p w:rsidR="008C3F5C" w:rsidRPr="00B32849" w:rsidRDefault="008C3F5C" w:rsidP="008C3F5C">
      <w:pPr>
        <w:pStyle w:val="Nagwek4"/>
        <w:rPr>
          <w:lang w:val="en-GB"/>
        </w:rPr>
      </w:pPr>
      <w:bookmarkStart w:id="354" w:name="_Toc328552258"/>
      <w:bookmarkStart w:id="355" w:name="_Toc332020607"/>
      <w:bookmarkStart w:id="356" w:name="_Toc332203450"/>
      <w:bookmarkStart w:id="357" w:name="_Toc332207002"/>
      <w:bookmarkStart w:id="358" w:name="_Toc332296171"/>
      <w:bookmarkStart w:id="359" w:name="_Toc336434738"/>
      <w:bookmarkStart w:id="360" w:name="_Toc397516890"/>
      <w:bookmarkStart w:id="361" w:name="_Toc398627870"/>
      <w:bookmarkStart w:id="362" w:name="_Toc399335725"/>
      <w:bookmarkStart w:id="363" w:name="_Toc399764866"/>
      <w:bookmarkStart w:id="364" w:name="_Toc412562657"/>
      <w:bookmarkStart w:id="365" w:name="_Toc412562734"/>
      <w:bookmarkStart w:id="366" w:name="_Toc413662726"/>
      <w:bookmarkStart w:id="367" w:name="_Toc413673583"/>
      <w:bookmarkStart w:id="368" w:name="_Toc413673681"/>
      <w:bookmarkStart w:id="369" w:name="_Toc413673752"/>
      <w:bookmarkStart w:id="370" w:name="_Toc413928651"/>
      <w:bookmarkStart w:id="371" w:name="_Toc413936265"/>
      <w:bookmarkStart w:id="372" w:name="_Toc413937976"/>
      <w:bookmarkStart w:id="373" w:name="_Toc414026703"/>
      <w:bookmarkStart w:id="374" w:name="_Toc414974082"/>
      <w:bookmarkStart w:id="375" w:name="_Toc450900956"/>
      <w:bookmarkStart w:id="376" w:name="_Toc450920622"/>
      <w:bookmarkStart w:id="377" w:name="_Toc450923743"/>
      <w:bookmarkStart w:id="378" w:name="_Toc454460976"/>
      <w:bookmarkStart w:id="379" w:name="_Toc454462812"/>
      <w:bookmarkStart w:id="380" w:name="_Toc138229970"/>
      <w:bookmarkStart w:id="381" w:name="_Toc179811303"/>
      <w:bookmarkStart w:id="382" w:name="_Toc304462619"/>
      <w:bookmarkStart w:id="383" w:name="_Toc111951403"/>
      <w:bookmarkStart w:id="384" w:name="_Toc240611811"/>
      <w:bookmarkStart w:id="385" w:name="_Toc299717515"/>
      <w:bookmarkStart w:id="386" w:name="_Toc300147923"/>
      <w:bookmarkEnd w:id="328"/>
      <w:r w:rsidRPr="00B32849">
        <w:rPr>
          <w:lang w:val="en-GB"/>
        </w:rPr>
        <w:t>Measurement of worker exposure</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B32849">
        <w:rPr>
          <w:lang w:val="en-GB"/>
        </w:rPr>
        <w:t xml:space="preserve"> </w:t>
      </w:r>
      <w:bookmarkEnd w:id="382"/>
    </w:p>
    <w:p w:rsidR="008C3F5C" w:rsidRPr="00B32849" w:rsidRDefault="008C3F5C" w:rsidP="008C3F5C">
      <w:pPr>
        <w:jc w:val="both"/>
        <w:rPr>
          <w:lang w:val="en-GB"/>
        </w:rPr>
      </w:pPr>
      <w:bookmarkStart w:id="387" w:name="_Toc111951404"/>
      <w:bookmarkEnd w:id="383"/>
      <w:bookmarkEnd w:id="384"/>
      <w:bookmarkEnd w:id="385"/>
      <w:bookmarkEnd w:id="386"/>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and was therefore not performed.</w:t>
      </w:r>
    </w:p>
    <w:p w:rsidR="008C3F5C" w:rsidRDefault="008C3F5C" w:rsidP="008C3F5C">
      <w:pPr>
        <w:pStyle w:val="Nagwek3"/>
      </w:pPr>
      <w:bookmarkStart w:id="388" w:name="_Toc240611804"/>
      <w:bookmarkStart w:id="389" w:name="_Toc299717516"/>
      <w:bookmarkStart w:id="390" w:name="_Toc300147924"/>
      <w:bookmarkStart w:id="391" w:name="_Toc304462620"/>
      <w:bookmarkStart w:id="392" w:name="_Toc314067807"/>
      <w:bookmarkStart w:id="393" w:name="_Toc314122097"/>
      <w:bookmarkStart w:id="394" w:name="_Toc314129276"/>
      <w:bookmarkStart w:id="395" w:name="_Toc314142395"/>
      <w:bookmarkStart w:id="396" w:name="_Toc314557402"/>
      <w:bookmarkStart w:id="397" w:name="_Toc314557660"/>
      <w:bookmarkStart w:id="398" w:name="_Toc328552259"/>
      <w:bookmarkStart w:id="399" w:name="_Toc332020608"/>
      <w:bookmarkStart w:id="400" w:name="_Toc332203451"/>
      <w:bookmarkStart w:id="401" w:name="_Toc332207003"/>
      <w:bookmarkStart w:id="402" w:name="_Toc332296172"/>
      <w:bookmarkStart w:id="403" w:name="_Toc336434739"/>
      <w:bookmarkStart w:id="404" w:name="_Toc397516891"/>
      <w:bookmarkStart w:id="405" w:name="_Toc398627871"/>
      <w:bookmarkStart w:id="406" w:name="_Toc399335726"/>
      <w:bookmarkStart w:id="407" w:name="_Toc399764867"/>
      <w:bookmarkStart w:id="408" w:name="_Toc412562658"/>
      <w:bookmarkStart w:id="409" w:name="_Toc412562735"/>
      <w:bookmarkStart w:id="410" w:name="_Toc413662727"/>
      <w:bookmarkStart w:id="411" w:name="_Toc413673584"/>
      <w:bookmarkStart w:id="412" w:name="_Toc413673682"/>
      <w:bookmarkStart w:id="413" w:name="_Toc413673753"/>
      <w:bookmarkStart w:id="414" w:name="_Toc413928652"/>
      <w:bookmarkStart w:id="415" w:name="_Toc413936266"/>
      <w:bookmarkStart w:id="416" w:name="_Toc413937977"/>
      <w:bookmarkStart w:id="417" w:name="_Toc414026704"/>
      <w:bookmarkStart w:id="418" w:name="_Toc414974083"/>
      <w:bookmarkStart w:id="419" w:name="_Toc450900957"/>
      <w:bookmarkStart w:id="420" w:name="_Toc450920623"/>
      <w:bookmarkStart w:id="421" w:name="_Toc450923744"/>
      <w:bookmarkStart w:id="422" w:name="_Toc454460977"/>
      <w:bookmarkStart w:id="423" w:name="_Toc454462813"/>
      <w:bookmarkStart w:id="424" w:name="_Toc138229971"/>
      <w:bookmarkStart w:id="425" w:name="_Toc179811304"/>
      <w:bookmarkEnd w:id="387"/>
      <w:r>
        <w:t>R</w:t>
      </w:r>
      <w:r w:rsidRPr="00B32849">
        <w:t xml:space="preserve">esident and </w:t>
      </w:r>
      <w:r>
        <w:t>b</w:t>
      </w:r>
      <w:r w:rsidRPr="00B32849">
        <w:t>ystander exposure</w:t>
      </w:r>
      <w:bookmarkEnd w:id="388"/>
      <w:r w:rsidRPr="00B32849">
        <w:t xml:space="preserve"> </w:t>
      </w:r>
      <w:bookmarkEnd w:id="389"/>
      <w:bookmarkEnd w:id="390"/>
      <w:bookmarkEnd w:id="391"/>
      <w:bookmarkEnd w:id="392"/>
      <w:bookmarkEnd w:id="393"/>
      <w:bookmarkEnd w:id="394"/>
      <w:bookmarkEnd w:id="395"/>
      <w:bookmarkEnd w:id="396"/>
      <w:bookmarkEnd w:id="397"/>
      <w:r w:rsidRPr="00B32849">
        <w:t>(KCP 7.2.2)</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8C3F5C" w:rsidRPr="00B32849" w:rsidRDefault="008C3F5C" w:rsidP="008C3F5C">
      <w:pPr>
        <w:pStyle w:val="Nagwek4"/>
        <w:rPr>
          <w:lang w:val="en-GB"/>
        </w:rPr>
      </w:pPr>
      <w:bookmarkStart w:id="426" w:name="_Toc304462621"/>
      <w:bookmarkStart w:id="427" w:name="_Toc328552260"/>
      <w:bookmarkStart w:id="428" w:name="_Toc332020609"/>
      <w:bookmarkStart w:id="429" w:name="_Toc332203452"/>
      <w:bookmarkStart w:id="430" w:name="_Toc332207004"/>
      <w:bookmarkStart w:id="431" w:name="_Toc332296173"/>
      <w:bookmarkStart w:id="432" w:name="_Toc336434740"/>
      <w:bookmarkStart w:id="433" w:name="_Toc397516892"/>
      <w:bookmarkStart w:id="434" w:name="_Toc398627872"/>
      <w:bookmarkStart w:id="435" w:name="_Toc399335727"/>
      <w:bookmarkStart w:id="436" w:name="_Toc399764868"/>
      <w:bookmarkStart w:id="437" w:name="_Toc412562659"/>
      <w:bookmarkStart w:id="438" w:name="_Toc412562736"/>
      <w:bookmarkStart w:id="439" w:name="_Toc413662728"/>
      <w:bookmarkStart w:id="440" w:name="_Toc413673585"/>
      <w:bookmarkStart w:id="441" w:name="_Toc413673683"/>
      <w:bookmarkStart w:id="442" w:name="_Toc413673754"/>
      <w:bookmarkStart w:id="443" w:name="_Toc413928653"/>
      <w:bookmarkStart w:id="444" w:name="_Toc413936267"/>
      <w:bookmarkStart w:id="445" w:name="_Toc413937978"/>
      <w:bookmarkStart w:id="446" w:name="_Toc414026705"/>
      <w:bookmarkStart w:id="447" w:name="_Toc414974084"/>
      <w:bookmarkStart w:id="448" w:name="_Toc450900958"/>
      <w:bookmarkStart w:id="449" w:name="_Toc450920624"/>
      <w:bookmarkStart w:id="450" w:name="_Toc450923745"/>
      <w:bookmarkStart w:id="451" w:name="_Toc454460978"/>
      <w:bookmarkStart w:id="452" w:name="_Toc454462814"/>
      <w:bookmarkStart w:id="453" w:name="_Toc138229972"/>
      <w:bookmarkStart w:id="454" w:name="_Toc179811305"/>
      <w:bookmarkStart w:id="455" w:name="_Toc111951397"/>
      <w:bookmarkStart w:id="456" w:name="_Toc240611805"/>
      <w:bookmarkStart w:id="457" w:name="_Toc299717517"/>
      <w:bookmarkStart w:id="458" w:name="_Toc300147925"/>
      <w:r w:rsidRPr="00B32849">
        <w:rPr>
          <w:lang w:val="en-GB"/>
        </w:rPr>
        <w:t>Estimation of resident and bystander exposure</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lang w:val="en-GB"/>
        </w:rPr>
        <w:t xml:space="preserve"> </w:t>
      </w:r>
    </w:p>
    <w:p w:rsidR="00C51E98" w:rsidRDefault="00C51E98" w:rsidP="00C51E98">
      <w:pPr>
        <w:spacing w:after="35" w:line="244" w:lineRule="auto"/>
        <w:ind w:left="-5" w:hanging="10"/>
        <w:jc w:val="both"/>
      </w:pPr>
      <w:r>
        <w:t>No acute non-dietary risk assessment is included in this submission. Lack of scientific guidance or methodology is an acceptable reason for waiving according to Guidance of the European Commission</w:t>
      </w:r>
      <w:r>
        <w:rPr>
          <w:vertAlign w:val="superscript"/>
        </w:rPr>
        <w:footnoteReference w:id="5"/>
      </w:r>
      <w:r>
        <w:t xml:space="preserve">. The absence of such guidance on derivation of an appropriate reference dose (“AAOEL”) was recognized by </w:t>
      </w:r>
    </w:p>
    <w:p w:rsidR="00C51E98" w:rsidRDefault="00C51E98" w:rsidP="00C51E98">
      <w:pPr>
        <w:numPr>
          <w:ilvl w:val="0"/>
          <w:numId w:val="25"/>
        </w:numPr>
        <w:spacing w:after="18" w:line="259" w:lineRule="auto"/>
        <w:ind w:hanging="360"/>
      </w:pPr>
      <w:r>
        <w:t>the European Food Safety Authority</w:t>
      </w:r>
      <w:r>
        <w:rPr>
          <w:vertAlign w:val="superscript"/>
        </w:rPr>
        <w:footnoteReference w:id="6"/>
      </w:r>
      <w:r>
        <w:t xml:space="preserve">, and  </w:t>
      </w:r>
    </w:p>
    <w:p w:rsidR="00C51E98" w:rsidRDefault="00C51E98" w:rsidP="00C51E98">
      <w:pPr>
        <w:numPr>
          <w:ilvl w:val="0"/>
          <w:numId w:val="25"/>
        </w:numPr>
        <w:spacing w:after="138" w:line="259" w:lineRule="auto"/>
        <w:ind w:hanging="360"/>
      </w:pPr>
      <w:r>
        <w:t>the European Commission Standing Committee</w:t>
      </w:r>
      <w:r>
        <w:rPr>
          <w:vertAlign w:val="superscript"/>
        </w:rPr>
        <w:footnoteReference w:id="7"/>
      </w:r>
      <w:r>
        <w:t xml:space="preserve">.  </w:t>
      </w:r>
    </w:p>
    <w:p w:rsidR="00C51E98" w:rsidRDefault="00C51E98" w:rsidP="00C51E98">
      <w:pPr>
        <w:spacing w:after="10" w:line="248" w:lineRule="auto"/>
        <w:ind w:left="2" w:hanging="10"/>
      </w:pPr>
      <w:r>
        <w:t xml:space="preserve">Therefore, this waiver is presented in line with the Guidance of the European Commission. </w:t>
      </w:r>
    </w:p>
    <w:p w:rsidR="008C3F5C" w:rsidRPr="00C51E98" w:rsidRDefault="008C3F5C" w:rsidP="00C51E98">
      <w:pPr>
        <w:pStyle w:val="RepStandard"/>
        <w:spacing w:before="240" w:after="240"/>
        <w:rPr>
          <w:lang w:val="en-US"/>
        </w:rPr>
      </w:pPr>
      <w:r w:rsidRPr="00C51E98">
        <w:rPr>
          <w:lang w:val="en-US"/>
        </w:rPr>
        <w:t>Exposure in this case will be determined by average exposure over a longer duration, and higher exposures on one day will tend to be offset by lower exposures on other days. Therefore, exposure assessment for residents also covers bystander exposure.</w:t>
      </w:r>
    </w:p>
    <w:p w:rsidR="008C3F5C" w:rsidRDefault="00772379" w:rsidP="008C3F5C">
      <w:pPr>
        <w:pStyle w:val="RepStandard"/>
      </w:pPr>
      <w:fldSimple w:instr=" REF _Ref413932837 \h  \* MERGEFORMAT ">
        <w:r w:rsidR="008C3F5C" w:rsidRPr="00C51E98">
          <w:t>Table 6.6</w:t>
        </w:r>
        <w:r w:rsidR="008C3F5C" w:rsidRPr="00C51E98">
          <w:noBreakHyphen/>
          <w:t>7</w:t>
        </w:r>
      </w:fldSimple>
      <w:r w:rsidR="008C3F5C" w:rsidRPr="00C51E98">
        <w:t xml:space="preserve"> shows the exposure model(s) used for estimation of resident and bystander exposure to </w:t>
      </w:r>
      <w:proofErr w:type="spellStart"/>
      <w:r w:rsidR="008C3F5C" w:rsidRPr="00C51E98">
        <w:t>mesosulfuron</w:t>
      </w:r>
      <w:proofErr w:type="spellEnd"/>
      <w:r w:rsidR="008C3F5C" w:rsidRPr="00C51E98">
        <w:t xml:space="preserve">-methyl, </w:t>
      </w:r>
      <w:proofErr w:type="spellStart"/>
      <w:r w:rsidR="008C3F5C" w:rsidRPr="00C51E98">
        <w:t>iodosulfuron</w:t>
      </w:r>
      <w:proofErr w:type="spellEnd"/>
      <w:r w:rsidR="008C3F5C" w:rsidRPr="00C51E98">
        <w:t xml:space="preserve">-methyl-sodium and </w:t>
      </w:r>
      <w:proofErr w:type="spellStart"/>
      <w:r w:rsidR="008C3F5C" w:rsidRPr="00C51E98">
        <w:rPr>
          <w:bCs/>
          <w:lang w:val="en-US"/>
        </w:rPr>
        <w:t>mefenpyr</w:t>
      </w:r>
      <w:proofErr w:type="spellEnd"/>
      <w:r w:rsidR="008C3F5C" w:rsidRPr="00C51E98">
        <w:rPr>
          <w:bCs/>
          <w:lang w:val="en-US"/>
        </w:rPr>
        <w:t>-diethyl</w:t>
      </w:r>
      <w:r w:rsidR="008C3F5C" w:rsidRPr="00C51E98">
        <w:t xml:space="preserve">. The outcome of the estimation is presented in </w:t>
      </w:r>
      <w:fldSimple w:instr=" REF _Ref448305763 \h  \* MERGEFORMAT ">
        <w:r w:rsidR="008C3F5C" w:rsidRPr="00C51E98">
          <w:t>Table 6.6</w:t>
        </w:r>
        <w:r w:rsidR="008C3F5C" w:rsidRPr="00C51E98">
          <w:noBreakHyphen/>
          <w:t>8</w:t>
        </w:r>
      </w:fldSimple>
      <w:r w:rsidR="008C3F5C" w:rsidRPr="00C51E98">
        <w:t xml:space="preserve"> (longer term resident exposure). Detailed calculations are in </w:t>
      </w:r>
      <w:fldSimple w:instr=" REF _Ref414444418 \r \h  \* MERGEFORMAT ">
        <w:r w:rsidR="008C3F5C" w:rsidRPr="00C51E98">
          <w:t>Appendix 3</w:t>
        </w:r>
      </w:fldSimple>
      <w:r w:rsidR="008C3F5C" w:rsidRPr="00C51E98">
        <w:t>.</w:t>
      </w:r>
    </w:p>
    <w:p w:rsidR="008C3F5C" w:rsidRPr="00B32849" w:rsidRDefault="008C3F5C" w:rsidP="008C3F5C">
      <w:pPr>
        <w:pStyle w:val="RepLabel"/>
      </w:pPr>
      <w:bookmarkStart w:id="460" w:name="_Ref413932837"/>
      <w:bookmarkStart w:id="461" w:name="_Toc111951398"/>
      <w:bookmarkEnd w:id="455"/>
      <w:bookmarkEnd w:id="456"/>
      <w:bookmarkEnd w:id="457"/>
      <w:bookmarkEnd w:id="458"/>
      <w:r w:rsidRPr="00B32849">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Pr>
          <w:noProof/>
        </w:rPr>
        <w:t>7</w:t>
      </w:r>
      <w:r w:rsidR="00772379">
        <w:fldChar w:fldCharType="end"/>
      </w:r>
      <w:bookmarkEnd w:id="460"/>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313"/>
        <w:gridCol w:w="7159"/>
      </w:tblGrid>
      <w:tr w:rsidR="008C3F5C" w:rsidRPr="00B32849" w:rsidTr="001D131F">
        <w:tc>
          <w:tcPr>
            <w:tcW w:w="1221" w:type="pct"/>
          </w:tcPr>
          <w:p w:rsidR="008C3F5C" w:rsidRPr="00B32849" w:rsidRDefault="008C3F5C" w:rsidP="001D131F">
            <w:pPr>
              <w:pStyle w:val="RepTable"/>
            </w:pPr>
            <w:bookmarkStart w:id="462" w:name="_Toc240611806"/>
            <w:r w:rsidRPr="00B32849">
              <w:t>Critical use(s)</w:t>
            </w:r>
          </w:p>
        </w:tc>
        <w:tc>
          <w:tcPr>
            <w:tcW w:w="3779" w:type="pct"/>
          </w:tcPr>
          <w:p w:rsidR="008C3F5C" w:rsidRPr="00B32849" w:rsidRDefault="008C3F5C" w:rsidP="001D131F">
            <w:pPr>
              <w:pStyle w:val="RepTable"/>
            </w:pPr>
            <w:r>
              <w:t>Field crops</w:t>
            </w:r>
            <w:r w:rsidRPr="00B32849">
              <w:t xml:space="preserve"> </w:t>
            </w:r>
            <w:r w:rsidRPr="00425D6E">
              <w:t xml:space="preserve">(max. </w:t>
            </w:r>
            <w:r>
              <w:t>1 x 1.5 L</w:t>
            </w:r>
            <w:r w:rsidRPr="00425D6E">
              <w:t xml:space="preserve"> product/ha)</w:t>
            </w:r>
          </w:p>
        </w:tc>
      </w:tr>
      <w:tr w:rsidR="008C3F5C" w:rsidRPr="00B32849" w:rsidTr="001D131F">
        <w:tc>
          <w:tcPr>
            <w:tcW w:w="1221" w:type="pct"/>
          </w:tcPr>
          <w:p w:rsidR="008C3F5C" w:rsidRPr="00B32849" w:rsidRDefault="008C3F5C" w:rsidP="001D131F">
            <w:pPr>
              <w:pStyle w:val="RepTable"/>
            </w:pPr>
            <w:r w:rsidRPr="00B32849">
              <w:t>Model</w:t>
            </w:r>
          </w:p>
        </w:tc>
        <w:tc>
          <w:tcPr>
            <w:tcW w:w="3779" w:type="pct"/>
          </w:tcPr>
          <w:p w:rsidR="008C3F5C" w:rsidRPr="000D494E" w:rsidRDefault="008C3F5C" w:rsidP="001D131F">
            <w:pPr>
              <w:rPr>
                <w:bCs/>
                <w:noProof/>
                <w:sz w:val="20"/>
                <w:szCs w:val="20"/>
                <w:lang w:val="en-GB"/>
              </w:rPr>
            </w:pPr>
            <w:r w:rsidRPr="000D494E">
              <w:rPr>
                <w:bCs/>
                <w:sz w:val="20"/>
                <w:szCs w:val="20"/>
              </w:rPr>
              <w:t xml:space="preserve">Guidance on the assessment of exposure of operators, workers, residents and bystanders in risk assessment for plant protection products; </w:t>
            </w:r>
            <w:r w:rsidRPr="000D494E">
              <w:rPr>
                <w:bCs/>
                <w:noProof/>
                <w:sz w:val="20"/>
                <w:szCs w:val="20"/>
                <w:lang w:val="en-GB"/>
              </w:rPr>
              <w:t xml:space="preserve">EFSA Journal </w:t>
            </w:r>
            <w:bookmarkStart w:id="463" w:name="_Hlk150240152"/>
            <w:r w:rsidRPr="000D494E">
              <w:rPr>
                <w:bCs/>
                <w:noProof/>
                <w:sz w:val="20"/>
                <w:szCs w:val="20"/>
                <w:lang w:val="en-GB"/>
              </w:rPr>
              <w:t>2022;20(1):7032</w:t>
            </w:r>
            <w:bookmarkEnd w:id="463"/>
          </w:p>
          <w:p w:rsidR="008C3F5C" w:rsidRPr="00A069AB" w:rsidRDefault="008C3F5C" w:rsidP="001D131F">
            <w:pPr>
              <w:pStyle w:val="RepTable"/>
              <w:tabs>
                <w:tab w:val="left" w:pos="720"/>
              </w:tabs>
              <w:rPr>
                <w:szCs w:val="20"/>
              </w:rPr>
            </w:pPr>
            <w:r w:rsidRPr="000D494E">
              <w:rPr>
                <w:noProof w:val="0"/>
                <w:szCs w:val="20"/>
                <w:lang w:val="en-US"/>
              </w:rPr>
              <w:t>calculator version: v 1.0.</w:t>
            </w:r>
          </w:p>
        </w:tc>
      </w:tr>
    </w:tbl>
    <w:p w:rsidR="008C3F5C" w:rsidRPr="009E092C" w:rsidRDefault="008C3F5C" w:rsidP="000F03B2">
      <w:pPr>
        <w:pStyle w:val="RepLabel"/>
      </w:pPr>
      <w:bookmarkStart w:id="464" w:name="_Ref448305763"/>
      <w:r w:rsidRPr="007545B2">
        <w:lastRenderedPageBreak/>
        <w:t>Table </w:t>
      </w:r>
      <w:r w:rsidR="00772379" w:rsidRPr="007545B2">
        <w:fldChar w:fldCharType="begin"/>
      </w:r>
      <w:r w:rsidRPr="007545B2">
        <w:instrText xml:space="preserve"> STYLEREF 2 \s </w:instrText>
      </w:r>
      <w:r w:rsidR="00772379" w:rsidRPr="007545B2">
        <w:fldChar w:fldCharType="separate"/>
      </w:r>
      <w:r>
        <w:rPr>
          <w:noProof/>
        </w:rPr>
        <w:t>6.6</w:t>
      </w:r>
      <w:r w:rsidR="00772379" w:rsidRPr="007545B2">
        <w:fldChar w:fldCharType="end"/>
      </w:r>
      <w:r w:rsidRPr="007545B2">
        <w:noBreakHyphen/>
      </w:r>
      <w:r w:rsidR="00772379" w:rsidRPr="007545B2">
        <w:fldChar w:fldCharType="begin"/>
      </w:r>
      <w:r w:rsidRPr="007545B2">
        <w:instrText xml:space="preserve"> SEQ Table \* ARABIC \s 2 </w:instrText>
      </w:r>
      <w:r w:rsidR="00772379" w:rsidRPr="007545B2">
        <w:fldChar w:fldCharType="separate"/>
      </w:r>
      <w:r>
        <w:rPr>
          <w:noProof/>
        </w:rPr>
        <w:t>8</w:t>
      </w:r>
      <w:r w:rsidR="00772379" w:rsidRPr="007545B2">
        <w:fldChar w:fldCharType="end"/>
      </w:r>
      <w:bookmarkEnd w:id="464"/>
      <w:r w:rsidRPr="007545B2">
        <w:t>:</w:t>
      </w:r>
      <w:r w:rsidRPr="007545B2">
        <w:tab/>
        <w:t xml:space="preserve">Estimated resident </w:t>
      </w:r>
      <w:r w:rsidRPr="007F085C">
        <w:t>exposure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766"/>
        <w:gridCol w:w="1978"/>
        <w:gridCol w:w="1432"/>
        <w:gridCol w:w="1434"/>
        <w:gridCol w:w="1432"/>
        <w:gridCol w:w="1430"/>
      </w:tblGrid>
      <w:tr w:rsidR="008C3F5C" w:rsidRPr="006250F3" w:rsidTr="009E69D0">
        <w:tc>
          <w:tcPr>
            <w:tcW w:w="932" w:type="pct"/>
          </w:tcPr>
          <w:p w:rsidR="008C3F5C" w:rsidRPr="006250F3" w:rsidRDefault="008C3F5C" w:rsidP="000F03B2">
            <w:pPr>
              <w:pStyle w:val="RepTableHeader"/>
              <w:rPr>
                <w:highlight w:val="green"/>
                <w:lang w:val="en-GB"/>
              </w:rPr>
            </w:pPr>
          </w:p>
        </w:tc>
        <w:tc>
          <w:tcPr>
            <w:tcW w:w="1044" w:type="pct"/>
          </w:tcPr>
          <w:p w:rsidR="008C3F5C" w:rsidRPr="006250F3" w:rsidRDefault="008C3F5C" w:rsidP="000F03B2">
            <w:pPr>
              <w:pStyle w:val="RepTableHeader"/>
              <w:jc w:val="center"/>
              <w:rPr>
                <w:highlight w:val="green"/>
                <w:lang w:val="en-GB"/>
              </w:rPr>
            </w:pPr>
          </w:p>
        </w:tc>
        <w:tc>
          <w:tcPr>
            <w:tcW w:w="1513" w:type="pct"/>
            <w:gridSpan w:val="2"/>
          </w:tcPr>
          <w:p w:rsidR="008C3F5C" w:rsidRPr="007F085C" w:rsidRDefault="008C3F5C" w:rsidP="000F03B2">
            <w:pPr>
              <w:pStyle w:val="RepTableHeader"/>
              <w:jc w:val="center"/>
              <w:rPr>
                <w:highlight w:val="yellow"/>
                <w:lang w:val="en-GB"/>
              </w:rPr>
            </w:pPr>
            <w:proofErr w:type="spellStart"/>
            <w:r w:rsidRPr="00B248E5">
              <w:rPr>
                <w:lang w:val="en-GB"/>
              </w:rPr>
              <w:t>Mesosulfuron</w:t>
            </w:r>
            <w:proofErr w:type="spellEnd"/>
            <w:r w:rsidRPr="00B248E5">
              <w:rPr>
                <w:lang w:val="en-GB"/>
              </w:rPr>
              <w:t>-methyl</w:t>
            </w:r>
          </w:p>
        </w:tc>
        <w:tc>
          <w:tcPr>
            <w:tcW w:w="1512" w:type="pct"/>
            <w:gridSpan w:val="2"/>
          </w:tcPr>
          <w:p w:rsidR="008C3F5C" w:rsidRPr="007F085C" w:rsidRDefault="008C3F5C" w:rsidP="000F03B2">
            <w:pPr>
              <w:pStyle w:val="RepTableHeader"/>
              <w:jc w:val="center"/>
              <w:rPr>
                <w:highlight w:val="yellow"/>
                <w:lang w:val="en-GB"/>
              </w:rPr>
            </w:pPr>
            <w:proofErr w:type="spellStart"/>
            <w:r w:rsidRPr="00B248E5">
              <w:rPr>
                <w:lang w:val="en-GB"/>
              </w:rPr>
              <w:t>Iodosulfuron</w:t>
            </w:r>
            <w:proofErr w:type="spellEnd"/>
            <w:r w:rsidRPr="00B248E5">
              <w:rPr>
                <w:lang w:val="en-GB"/>
              </w:rPr>
              <w:t>-methyl-sodium</w:t>
            </w:r>
          </w:p>
        </w:tc>
      </w:tr>
      <w:tr w:rsidR="008C3F5C" w:rsidRPr="007F085C" w:rsidTr="009E69D0">
        <w:tc>
          <w:tcPr>
            <w:tcW w:w="932" w:type="pct"/>
          </w:tcPr>
          <w:p w:rsidR="008C3F5C" w:rsidRPr="007F085C" w:rsidRDefault="008C3F5C" w:rsidP="001D131F">
            <w:pPr>
              <w:pStyle w:val="RepTableHeader"/>
              <w:rPr>
                <w:lang w:val="en-GB"/>
              </w:rPr>
            </w:pPr>
            <w:r w:rsidRPr="007F085C">
              <w:rPr>
                <w:lang w:val="en-GB"/>
              </w:rPr>
              <w:t>Model data</w:t>
            </w:r>
          </w:p>
        </w:tc>
        <w:tc>
          <w:tcPr>
            <w:tcW w:w="1044" w:type="pct"/>
          </w:tcPr>
          <w:p w:rsidR="008C3F5C" w:rsidRPr="007F085C" w:rsidRDefault="008C3F5C" w:rsidP="001D131F">
            <w:pPr>
              <w:pStyle w:val="RepTableHeader"/>
              <w:jc w:val="center"/>
              <w:rPr>
                <w:lang w:val="en-GB"/>
              </w:rPr>
            </w:pPr>
          </w:p>
        </w:tc>
        <w:tc>
          <w:tcPr>
            <w:tcW w:w="756" w:type="pct"/>
          </w:tcPr>
          <w:p w:rsidR="008C3F5C" w:rsidRPr="007F085C" w:rsidRDefault="008C3F5C" w:rsidP="001D131F">
            <w:pPr>
              <w:pStyle w:val="RepTableHeader"/>
              <w:jc w:val="center"/>
              <w:rPr>
                <w:lang w:val="en-GB"/>
              </w:rPr>
            </w:pPr>
            <w:r w:rsidRPr="007F085C">
              <w:rPr>
                <w:lang w:val="en-GB"/>
              </w:rPr>
              <w:t xml:space="preserve">Total absorbed dose (mg/kg </w:t>
            </w:r>
            <w:proofErr w:type="spellStart"/>
            <w:r w:rsidRPr="007F085C">
              <w:rPr>
                <w:lang w:val="en-GB"/>
              </w:rPr>
              <w:t>bw</w:t>
            </w:r>
            <w:proofErr w:type="spellEnd"/>
            <w:r w:rsidRPr="007F085C">
              <w:rPr>
                <w:lang w:val="en-GB"/>
              </w:rPr>
              <w:t>/day)</w:t>
            </w:r>
          </w:p>
        </w:tc>
        <w:tc>
          <w:tcPr>
            <w:tcW w:w="757" w:type="pct"/>
          </w:tcPr>
          <w:p w:rsidR="008C3F5C" w:rsidRPr="007F085C" w:rsidRDefault="008C3F5C" w:rsidP="001D131F">
            <w:pPr>
              <w:pStyle w:val="RepTableHeader"/>
              <w:jc w:val="center"/>
              <w:rPr>
                <w:lang w:val="en-GB"/>
              </w:rPr>
            </w:pPr>
            <w:r w:rsidRPr="007F085C">
              <w:rPr>
                <w:lang w:val="en-GB"/>
              </w:rPr>
              <w:t>% of systemic AOEL</w:t>
            </w:r>
          </w:p>
        </w:tc>
        <w:tc>
          <w:tcPr>
            <w:tcW w:w="756" w:type="pct"/>
          </w:tcPr>
          <w:p w:rsidR="008C3F5C" w:rsidRPr="007F085C" w:rsidRDefault="008C3F5C" w:rsidP="001D131F">
            <w:pPr>
              <w:pStyle w:val="RepTableHeader"/>
              <w:jc w:val="center"/>
              <w:rPr>
                <w:lang w:val="en-GB"/>
              </w:rPr>
            </w:pPr>
            <w:r w:rsidRPr="007F085C">
              <w:rPr>
                <w:lang w:val="en-GB"/>
              </w:rPr>
              <w:t xml:space="preserve">Total absorbed dose (mg/kg </w:t>
            </w:r>
            <w:proofErr w:type="spellStart"/>
            <w:r w:rsidRPr="007F085C">
              <w:rPr>
                <w:lang w:val="en-GB"/>
              </w:rPr>
              <w:t>bw</w:t>
            </w:r>
            <w:proofErr w:type="spellEnd"/>
            <w:r w:rsidRPr="007F085C">
              <w:rPr>
                <w:lang w:val="en-GB"/>
              </w:rPr>
              <w:t>/day)</w:t>
            </w:r>
          </w:p>
        </w:tc>
        <w:tc>
          <w:tcPr>
            <w:tcW w:w="756" w:type="pct"/>
          </w:tcPr>
          <w:p w:rsidR="008C3F5C" w:rsidRPr="007F085C" w:rsidRDefault="008C3F5C" w:rsidP="001D131F">
            <w:pPr>
              <w:pStyle w:val="RepTableHeader"/>
              <w:jc w:val="center"/>
              <w:rPr>
                <w:lang w:val="en-GB"/>
              </w:rPr>
            </w:pPr>
            <w:r w:rsidRPr="007F085C">
              <w:rPr>
                <w:lang w:val="en-GB"/>
              </w:rPr>
              <w:t>% of systemic AOEL</w:t>
            </w:r>
          </w:p>
        </w:tc>
      </w:tr>
      <w:tr w:rsidR="008C3F5C" w:rsidRPr="007F085C" w:rsidTr="001D131F">
        <w:tc>
          <w:tcPr>
            <w:tcW w:w="5000" w:type="pct"/>
            <w:gridSpan w:val="6"/>
          </w:tcPr>
          <w:p w:rsidR="008C3F5C" w:rsidRPr="007F085C" w:rsidRDefault="008C3F5C" w:rsidP="001D131F">
            <w:pPr>
              <w:pStyle w:val="RepTable"/>
              <w:rPr>
                <w:szCs w:val="20"/>
              </w:rPr>
            </w:pPr>
            <w:r w:rsidRPr="001A754A">
              <w:rPr>
                <w:szCs w:val="20"/>
              </w:rPr>
              <w:t>Tractor mounted boom spray application outdoors to low crops</w:t>
            </w:r>
          </w:p>
          <w:p w:rsidR="008C3F5C" w:rsidRPr="00804FA9" w:rsidRDefault="008C3F5C" w:rsidP="001D131F">
            <w:pPr>
              <w:widowControl w:val="0"/>
              <w:rPr>
                <w:b/>
                <w:noProof/>
                <w:sz w:val="20"/>
                <w:szCs w:val="20"/>
                <w:u w:val="single"/>
                <w:lang w:val="en-GB"/>
              </w:rPr>
            </w:pPr>
            <w:r w:rsidRPr="00804FA9">
              <w:rPr>
                <w:b/>
                <w:noProof/>
                <w:sz w:val="20"/>
                <w:szCs w:val="20"/>
                <w:u w:val="single"/>
                <w:lang w:val="en-GB"/>
              </w:rPr>
              <w:t>Buffer zone: 2-3 (m)</w:t>
            </w:r>
          </w:p>
          <w:p w:rsidR="008C3F5C" w:rsidRPr="007F085C" w:rsidRDefault="008C3F5C" w:rsidP="001D131F">
            <w:pPr>
              <w:widowControl w:val="0"/>
              <w:rPr>
                <w:noProof/>
                <w:sz w:val="20"/>
                <w:szCs w:val="20"/>
                <w:lang w:val="en-GB"/>
              </w:rPr>
            </w:pPr>
            <w:r w:rsidRPr="007F085C">
              <w:rPr>
                <w:noProof/>
                <w:sz w:val="20"/>
                <w:szCs w:val="20"/>
                <w:lang w:val="en-GB"/>
              </w:rPr>
              <w:t xml:space="preserve">Drift reduction technology: </w:t>
            </w:r>
            <w:r>
              <w:rPr>
                <w:noProof/>
                <w:sz w:val="20"/>
                <w:szCs w:val="20"/>
                <w:lang w:val="en-GB"/>
              </w:rPr>
              <w:t>No</w:t>
            </w:r>
          </w:p>
          <w:p w:rsidR="008C3F5C" w:rsidRPr="007F085C" w:rsidRDefault="008C3F5C" w:rsidP="001D131F">
            <w:pPr>
              <w:keepNext/>
              <w:widowControl w:val="0"/>
              <w:rPr>
                <w:noProof/>
                <w:sz w:val="20"/>
                <w:szCs w:val="20"/>
                <w:lang w:val="en-GB"/>
              </w:rPr>
            </w:pPr>
            <w:r w:rsidRPr="007F085C">
              <w:rPr>
                <w:noProof/>
                <w:sz w:val="20"/>
                <w:szCs w:val="20"/>
                <w:lang w:val="en-GB"/>
              </w:rPr>
              <w:t>DT</w:t>
            </w:r>
            <w:r w:rsidRPr="007F085C">
              <w:rPr>
                <w:noProof/>
                <w:sz w:val="20"/>
                <w:szCs w:val="20"/>
                <w:vertAlign w:val="subscript"/>
                <w:lang w:val="en-GB"/>
              </w:rPr>
              <w:t>50</w:t>
            </w:r>
            <w:r w:rsidRPr="007F085C">
              <w:rPr>
                <w:noProof/>
                <w:sz w:val="20"/>
                <w:szCs w:val="20"/>
                <w:lang w:val="en-GB"/>
              </w:rPr>
              <w:t xml:space="preserve">: </w:t>
            </w:r>
            <w:r>
              <w:rPr>
                <w:noProof/>
                <w:sz w:val="20"/>
                <w:szCs w:val="20"/>
                <w:lang w:val="en-GB"/>
              </w:rPr>
              <w:t>30</w:t>
            </w:r>
            <w:r w:rsidRPr="007F085C">
              <w:rPr>
                <w:noProof/>
                <w:sz w:val="20"/>
                <w:szCs w:val="20"/>
                <w:lang w:val="en-GB"/>
              </w:rPr>
              <w:t xml:space="preserve"> days</w:t>
            </w:r>
          </w:p>
          <w:p w:rsidR="008C3F5C" w:rsidRPr="007F085C" w:rsidRDefault="008C3F5C" w:rsidP="001D131F">
            <w:pPr>
              <w:widowControl w:val="0"/>
              <w:rPr>
                <w:noProof/>
                <w:sz w:val="20"/>
                <w:szCs w:val="20"/>
                <w:lang w:val="en-GB"/>
              </w:rPr>
            </w:pPr>
            <w:r w:rsidRPr="007F085C">
              <w:rPr>
                <w:noProof/>
                <w:sz w:val="20"/>
                <w:szCs w:val="20"/>
                <w:lang w:val="en-GB"/>
              </w:rPr>
              <w:t xml:space="preserve">DFR: </w:t>
            </w:r>
            <w:r>
              <w:rPr>
                <w:noProof/>
                <w:sz w:val="20"/>
                <w:szCs w:val="20"/>
                <w:lang w:val="en-GB"/>
              </w:rPr>
              <w:t>3</w:t>
            </w:r>
            <w:r w:rsidRPr="007F085C">
              <w:rPr>
                <w:noProof/>
                <w:sz w:val="20"/>
                <w:szCs w:val="20"/>
                <w:lang w:val="en-GB"/>
              </w:rPr>
              <w:t xml:space="preserve"> µg/cm</w:t>
            </w:r>
            <w:r w:rsidRPr="007F085C">
              <w:rPr>
                <w:noProof/>
                <w:sz w:val="20"/>
                <w:szCs w:val="20"/>
                <w:vertAlign w:val="superscript"/>
                <w:lang w:val="en-GB"/>
              </w:rPr>
              <w:t>2</w:t>
            </w:r>
            <w:r w:rsidRPr="007F085C">
              <w:rPr>
                <w:noProof/>
                <w:sz w:val="20"/>
                <w:szCs w:val="20"/>
                <w:lang w:val="en-GB"/>
              </w:rPr>
              <w:t>/kg a.s./ha</w:t>
            </w:r>
          </w:p>
          <w:p w:rsidR="008C3F5C" w:rsidRPr="007F085C" w:rsidRDefault="008C3F5C" w:rsidP="001D131F">
            <w:pPr>
              <w:pStyle w:val="RepTable"/>
              <w:rPr>
                <w:szCs w:val="20"/>
              </w:rPr>
            </w:pPr>
            <w:r w:rsidRPr="007F085C">
              <w:rPr>
                <w:szCs w:val="20"/>
              </w:rPr>
              <w:t xml:space="preserve">Interval between treatments: </w:t>
            </w:r>
            <w:r>
              <w:rPr>
                <w:szCs w:val="20"/>
              </w:rPr>
              <w:t xml:space="preserve">365 </w:t>
            </w:r>
            <w:r w:rsidRPr="007F085C">
              <w:rPr>
                <w:szCs w:val="20"/>
              </w:rPr>
              <w:t xml:space="preserve">days </w:t>
            </w:r>
          </w:p>
        </w:tc>
      </w:tr>
      <w:tr w:rsidR="009E69D0" w:rsidRPr="007F085C" w:rsidTr="009E69D0">
        <w:tc>
          <w:tcPr>
            <w:tcW w:w="1976" w:type="pct"/>
            <w:gridSpan w:val="2"/>
          </w:tcPr>
          <w:p w:rsidR="009E69D0" w:rsidRPr="007F085C" w:rsidRDefault="009E69D0" w:rsidP="009E69D0">
            <w:pPr>
              <w:pStyle w:val="RepTable"/>
              <w:rPr>
                <w:szCs w:val="20"/>
                <w:lang w:val="en-US"/>
              </w:rPr>
            </w:pPr>
            <w:r w:rsidRPr="007F085C">
              <w:rPr>
                <w:szCs w:val="20"/>
              </w:rPr>
              <w:t>Number of applications and application rate</w:t>
            </w:r>
          </w:p>
        </w:tc>
        <w:tc>
          <w:tcPr>
            <w:tcW w:w="1513" w:type="pct"/>
            <w:gridSpan w:val="2"/>
          </w:tcPr>
          <w:p w:rsidR="009E69D0" w:rsidRPr="008C3F5C" w:rsidRDefault="009E69D0" w:rsidP="009E69D0">
            <w:pPr>
              <w:pStyle w:val="RepTable"/>
              <w:rPr>
                <w:szCs w:val="20"/>
                <w:highlight w:val="yellow"/>
              </w:rPr>
            </w:pPr>
            <w:r w:rsidRPr="00450EAA">
              <w:t>1 x 0.016125 kg a.s./ha</w:t>
            </w:r>
          </w:p>
        </w:tc>
        <w:tc>
          <w:tcPr>
            <w:tcW w:w="1512" w:type="pct"/>
            <w:gridSpan w:val="2"/>
          </w:tcPr>
          <w:p w:rsidR="009E69D0" w:rsidRPr="008C3F5C" w:rsidRDefault="009E69D0" w:rsidP="009E69D0">
            <w:pPr>
              <w:pStyle w:val="RepTable"/>
              <w:rPr>
                <w:szCs w:val="20"/>
                <w:highlight w:val="yellow"/>
              </w:rPr>
            </w:pPr>
            <w:r w:rsidRPr="00450EAA">
              <w:t>1 x 0.0033 kg a.s./ha</w:t>
            </w:r>
          </w:p>
        </w:tc>
      </w:tr>
      <w:tr w:rsidR="008C3F5C" w:rsidRPr="007F085C" w:rsidTr="009E69D0">
        <w:tc>
          <w:tcPr>
            <w:tcW w:w="932" w:type="pct"/>
            <w:vMerge w:val="restart"/>
          </w:tcPr>
          <w:p w:rsidR="008C3F5C" w:rsidRPr="007F085C" w:rsidRDefault="008C3F5C" w:rsidP="001D131F">
            <w:pPr>
              <w:pStyle w:val="RepTable"/>
              <w:rPr>
                <w:szCs w:val="20"/>
              </w:rPr>
            </w:pPr>
            <w:r w:rsidRPr="007F085C">
              <w:rPr>
                <w:szCs w:val="20"/>
              </w:rPr>
              <w:t>Resident child</w:t>
            </w:r>
          </w:p>
          <w:p w:rsidR="008C3F5C" w:rsidRPr="007F085C" w:rsidRDefault="008C3F5C" w:rsidP="001D131F">
            <w:pPr>
              <w:pStyle w:val="RepTable"/>
              <w:rPr>
                <w:szCs w:val="20"/>
              </w:rPr>
            </w:pPr>
            <w:r w:rsidRPr="007F085C">
              <w:rPr>
                <w:szCs w:val="20"/>
              </w:rPr>
              <w:t>Body weight: 10 kg</w:t>
            </w:r>
          </w:p>
        </w:tc>
        <w:tc>
          <w:tcPr>
            <w:tcW w:w="1044" w:type="pct"/>
          </w:tcPr>
          <w:p w:rsidR="008C3F5C" w:rsidRPr="007F085C" w:rsidRDefault="008C3F5C" w:rsidP="001D131F">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756" w:type="pct"/>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0.002</w:t>
            </w:r>
          </w:p>
        </w:tc>
        <w:tc>
          <w:tcPr>
            <w:tcW w:w="757" w:type="pct"/>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1.2</w:t>
            </w:r>
          </w:p>
        </w:tc>
        <w:tc>
          <w:tcPr>
            <w:tcW w:w="756" w:type="pct"/>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0.0003</w:t>
            </w:r>
          </w:p>
        </w:tc>
        <w:tc>
          <w:tcPr>
            <w:tcW w:w="756" w:type="pct"/>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0.6</w:t>
            </w:r>
          </w:p>
        </w:tc>
      </w:tr>
      <w:tr w:rsidR="008C3F5C" w:rsidRPr="007F085C" w:rsidTr="009E69D0">
        <w:tc>
          <w:tcPr>
            <w:tcW w:w="932" w:type="pct"/>
            <w:vMerge/>
          </w:tcPr>
          <w:p w:rsidR="008C3F5C" w:rsidRPr="007F085C" w:rsidRDefault="008C3F5C" w:rsidP="001D131F">
            <w:pPr>
              <w:pStyle w:val="RepTable"/>
              <w:rPr>
                <w:szCs w:val="20"/>
              </w:rPr>
            </w:pPr>
          </w:p>
        </w:tc>
        <w:tc>
          <w:tcPr>
            <w:tcW w:w="1044" w:type="pct"/>
          </w:tcPr>
          <w:p w:rsidR="008C3F5C" w:rsidRPr="007F085C" w:rsidRDefault="008C3F5C" w:rsidP="001D131F">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756" w:type="pct"/>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6e-10</w:t>
            </w:r>
          </w:p>
        </w:tc>
        <w:tc>
          <w:tcPr>
            <w:tcW w:w="757" w:type="pct"/>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4e-07</w:t>
            </w:r>
          </w:p>
        </w:tc>
        <w:tc>
          <w:tcPr>
            <w:tcW w:w="756" w:type="pct"/>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5e-07</w:t>
            </w:r>
          </w:p>
        </w:tc>
        <w:tc>
          <w:tcPr>
            <w:tcW w:w="756" w:type="pct"/>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0.0009</w:t>
            </w:r>
          </w:p>
        </w:tc>
      </w:tr>
      <w:tr w:rsidR="008C3F5C" w:rsidRPr="007F085C" w:rsidTr="009E69D0">
        <w:tc>
          <w:tcPr>
            <w:tcW w:w="932" w:type="pct"/>
            <w:vMerge/>
          </w:tcPr>
          <w:p w:rsidR="008C3F5C" w:rsidRPr="007F085C" w:rsidRDefault="008C3F5C" w:rsidP="001D131F">
            <w:pPr>
              <w:pStyle w:val="RepTable"/>
              <w:rPr>
                <w:szCs w:val="20"/>
              </w:rPr>
            </w:pPr>
          </w:p>
        </w:tc>
        <w:tc>
          <w:tcPr>
            <w:tcW w:w="1044" w:type="pct"/>
          </w:tcPr>
          <w:p w:rsidR="008C3F5C" w:rsidRPr="007F085C" w:rsidRDefault="008C3F5C" w:rsidP="001D131F">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756" w:type="pct"/>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0.0002</w:t>
            </w:r>
          </w:p>
        </w:tc>
        <w:tc>
          <w:tcPr>
            <w:tcW w:w="757" w:type="pct"/>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0.1</w:t>
            </w:r>
          </w:p>
        </w:tc>
        <w:tc>
          <w:tcPr>
            <w:tcW w:w="756" w:type="pct"/>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4e-05</w:t>
            </w:r>
          </w:p>
        </w:tc>
        <w:tc>
          <w:tcPr>
            <w:tcW w:w="756" w:type="pct"/>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0.07</w:t>
            </w:r>
          </w:p>
        </w:tc>
      </w:tr>
      <w:tr w:rsidR="008C3F5C" w:rsidRPr="007F085C" w:rsidTr="009E69D0">
        <w:tc>
          <w:tcPr>
            <w:tcW w:w="932" w:type="pct"/>
            <w:vMerge/>
          </w:tcPr>
          <w:p w:rsidR="008C3F5C" w:rsidRPr="007F085C" w:rsidRDefault="008C3F5C" w:rsidP="001D131F">
            <w:pPr>
              <w:pStyle w:val="RepTable"/>
              <w:rPr>
                <w:szCs w:val="20"/>
              </w:rPr>
            </w:pPr>
          </w:p>
        </w:tc>
        <w:tc>
          <w:tcPr>
            <w:tcW w:w="1044" w:type="pct"/>
          </w:tcPr>
          <w:p w:rsidR="008C3F5C" w:rsidRPr="007F085C" w:rsidRDefault="008C3F5C" w:rsidP="001D131F">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756" w:type="pct"/>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0.002</w:t>
            </w:r>
          </w:p>
        </w:tc>
        <w:tc>
          <w:tcPr>
            <w:tcW w:w="757" w:type="pct"/>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1.5</w:t>
            </w:r>
          </w:p>
        </w:tc>
        <w:tc>
          <w:tcPr>
            <w:tcW w:w="756" w:type="pct"/>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0.0004</w:t>
            </w:r>
          </w:p>
        </w:tc>
        <w:tc>
          <w:tcPr>
            <w:tcW w:w="756" w:type="pct"/>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0.8</w:t>
            </w:r>
          </w:p>
        </w:tc>
      </w:tr>
      <w:tr w:rsidR="008C3F5C" w:rsidRPr="007F085C" w:rsidTr="009E69D0">
        <w:tc>
          <w:tcPr>
            <w:tcW w:w="932" w:type="pct"/>
            <w:vMerge/>
          </w:tcPr>
          <w:p w:rsidR="008C3F5C" w:rsidRPr="007F085C" w:rsidRDefault="008C3F5C" w:rsidP="001D131F">
            <w:pPr>
              <w:pStyle w:val="RepTable"/>
              <w:rPr>
                <w:szCs w:val="20"/>
              </w:rPr>
            </w:pPr>
          </w:p>
        </w:tc>
        <w:tc>
          <w:tcPr>
            <w:tcW w:w="1044" w:type="pct"/>
          </w:tcPr>
          <w:p w:rsidR="008C3F5C" w:rsidRPr="007F085C" w:rsidRDefault="008C3F5C" w:rsidP="001D131F">
            <w:pPr>
              <w:pStyle w:val="RepTable"/>
              <w:rPr>
                <w:b/>
                <w:szCs w:val="20"/>
              </w:rPr>
            </w:pPr>
            <w:r w:rsidRPr="007F085C">
              <w:rPr>
                <w:b/>
                <w:szCs w:val="20"/>
              </w:rPr>
              <w:t>Sum (mean)</w:t>
            </w:r>
          </w:p>
        </w:tc>
        <w:tc>
          <w:tcPr>
            <w:tcW w:w="756" w:type="pct"/>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0.002</w:t>
            </w:r>
          </w:p>
        </w:tc>
        <w:tc>
          <w:tcPr>
            <w:tcW w:w="757" w:type="pct"/>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1.9</w:t>
            </w:r>
          </w:p>
        </w:tc>
        <w:tc>
          <w:tcPr>
            <w:tcW w:w="756" w:type="pct"/>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0.0005</w:t>
            </w:r>
          </w:p>
        </w:tc>
        <w:tc>
          <w:tcPr>
            <w:tcW w:w="756" w:type="pct"/>
            <w:shd w:val="clear" w:color="auto" w:fill="EAF1DD" w:themeFill="accent3" w:themeFillTint="33"/>
          </w:tcPr>
          <w:p w:rsidR="008C3F5C" w:rsidRPr="007F085C" w:rsidRDefault="0056422A" w:rsidP="001D131F">
            <w:pPr>
              <w:pStyle w:val="RepTable"/>
              <w:jc w:val="center"/>
              <w:rPr>
                <w:rFonts w:eastAsia="SimSun"/>
                <w:szCs w:val="20"/>
                <w:lang w:eastAsia="zh-CN"/>
              </w:rPr>
            </w:pPr>
            <w:r>
              <w:rPr>
                <w:rFonts w:eastAsia="SimSun"/>
                <w:szCs w:val="20"/>
                <w:lang w:eastAsia="zh-CN"/>
              </w:rPr>
              <w:t>1</w:t>
            </w:r>
          </w:p>
        </w:tc>
      </w:tr>
      <w:tr w:rsidR="008C3F5C" w:rsidRPr="007F085C" w:rsidTr="009E69D0">
        <w:tc>
          <w:tcPr>
            <w:tcW w:w="932" w:type="pct"/>
            <w:vMerge w:val="restart"/>
            <w:tcBorders>
              <w:top w:val="single" w:sz="4" w:space="0" w:color="auto"/>
              <w:left w:val="single" w:sz="4" w:space="0" w:color="auto"/>
              <w:right w:val="single" w:sz="4" w:space="0" w:color="auto"/>
            </w:tcBorders>
          </w:tcPr>
          <w:p w:rsidR="008C3F5C" w:rsidRPr="007F085C" w:rsidRDefault="008C3F5C" w:rsidP="001D131F">
            <w:pPr>
              <w:pStyle w:val="RepTable"/>
              <w:rPr>
                <w:szCs w:val="20"/>
              </w:rPr>
            </w:pPr>
            <w:r w:rsidRPr="007F085C">
              <w:rPr>
                <w:szCs w:val="20"/>
              </w:rPr>
              <w:t>Resident adult</w:t>
            </w:r>
          </w:p>
          <w:p w:rsidR="008C3F5C" w:rsidRPr="007F085C" w:rsidRDefault="008C3F5C" w:rsidP="001D131F">
            <w:pPr>
              <w:pStyle w:val="RepTable"/>
              <w:rPr>
                <w:szCs w:val="20"/>
              </w:rPr>
            </w:pPr>
            <w:r w:rsidRPr="007F085C">
              <w:rPr>
                <w:szCs w:val="20"/>
              </w:rPr>
              <w:t>Body weight: 60 kg</w:t>
            </w:r>
          </w:p>
        </w:tc>
        <w:tc>
          <w:tcPr>
            <w:tcW w:w="1044"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0.0004</w:t>
            </w:r>
          </w:p>
        </w:tc>
        <w:tc>
          <w:tcPr>
            <w:tcW w:w="757"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0.3</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7e-05</w:t>
            </w:r>
          </w:p>
        </w:tc>
        <w:tc>
          <w:tcPr>
            <w:tcW w:w="756"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0.1</w:t>
            </w:r>
          </w:p>
        </w:tc>
      </w:tr>
      <w:tr w:rsidR="008C3F5C" w:rsidRPr="007F085C" w:rsidTr="009E69D0">
        <w:tc>
          <w:tcPr>
            <w:tcW w:w="932"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044"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2e-10</w:t>
            </w:r>
          </w:p>
        </w:tc>
        <w:tc>
          <w:tcPr>
            <w:tcW w:w="757"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1e-07</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2e-07</w:t>
            </w:r>
          </w:p>
        </w:tc>
        <w:tc>
          <w:tcPr>
            <w:tcW w:w="756"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0.0003</w:t>
            </w:r>
          </w:p>
        </w:tc>
      </w:tr>
      <w:tr w:rsidR="008C3F5C" w:rsidRPr="007F085C" w:rsidTr="009E69D0">
        <w:tc>
          <w:tcPr>
            <w:tcW w:w="932"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044"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8e-05</w:t>
            </w:r>
          </w:p>
        </w:tc>
        <w:tc>
          <w:tcPr>
            <w:tcW w:w="757"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0.06</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2e-05</w:t>
            </w:r>
          </w:p>
        </w:tc>
        <w:tc>
          <w:tcPr>
            <w:tcW w:w="756"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0.03</w:t>
            </w:r>
          </w:p>
        </w:tc>
      </w:tr>
      <w:tr w:rsidR="008C3F5C" w:rsidRPr="007F085C" w:rsidTr="009E69D0">
        <w:tc>
          <w:tcPr>
            <w:tcW w:w="932"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044"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0.001</w:t>
            </w:r>
          </w:p>
        </w:tc>
        <w:tc>
          <w:tcPr>
            <w:tcW w:w="757"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0.8</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0.0002</w:t>
            </w:r>
          </w:p>
        </w:tc>
        <w:tc>
          <w:tcPr>
            <w:tcW w:w="756"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0.4</w:t>
            </w:r>
          </w:p>
        </w:tc>
      </w:tr>
      <w:tr w:rsidR="008C3F5C" w:rsidRPr="007F085C" w:rsidTr="009E69D0">
        <w:tc>
          <w:tcPr>
            <w:tcW w:w="932" w:type="pct"/>
            <w:vMerge/>
            <w:tcBorders>
              <w:left w:val="single" w:sz="4" w:space="0" w:color="auto"/>
              <w:bottom w:val="single" w:sz="4" w:space="0" w:color="auto"/>
              <w:right w:val="single" w:sz="4" w:space="0" w:color="auto"/>
            </w:tcBorders>
          </w:tcPr>
          <w:p w:rsidR="008C3F5C" w:rsidRPr="007F085C" w:rsidRDefault="008C3F5C" w:rsidP="001D131F">
            <w:pPr>
              <w:pStyle w:val="RepTable"/>
              <w:rPr>
                <w:szCs w:val="20"/>
              </w:rPr>
            </w:pPr>
          </w:p>
        </w:tc>
        <w:tc>
          <w:tcPr>
            <w:tcW w:w="1044"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b/>
                <w:szCs w:val="20"/>
              </w:rPr>
            </w:pPr>
            <w:r w:rsidRPr="007F085C">
              <w:rPr>
                <w:b/>
                <w:szCs w:val="20"/>
              </w:rPr>
              <w:t>Sum (mean)</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0.001</w:t>
            </w:r>
          </w:p>
        </w:tc>
        <w:tc>
          <w:tcPr>
            <w:tcW w:w="757"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9E69D0" w:rsidP="001D131F">
            <w:pPr>
              <w:pStyle w:val="RepTable"/>
              <w:jc w:val="center"/>
              <w:rPr>
                <w:rFonts w:eastAsia="SimSun"/>
                <w:szCs w:val="20"/>
                <w:lang w:eastAsia="zh-CN"/>
              </w:rPr>
            </w:pPr>
            <w:r w:rsidRPr="009E69D0">
              <w:rPr>
                <w:rFonts w:eastAsia="SimSun"/>
                <w:szCs w:val="20"/>
                <w:lang w:eastAsia="zh-CN"/>
              </w:rPr>
              <w:t>0.8</w:t>
            </w:r>
          </w:p>
        </w:tc>
        <w:tc>
          <w:tcPr>
            <w:tcW w:w="756" w:type="pct"/>
            <w:tcBorders>
              <w:top w:val="single" w:sz="4" w:space="0" w:color="auto"/>
              <w:left w:val="single" w:sz="4" w:space="0" w:color="auto"/>
              <w:bottom w:val="single" w:sz="4" w:space="0" w:color="auto"/>
              <w:right w:val="single" w:sz="4" w:space="0" w:color="auto"/>
            </w:tcBorders>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0.0002</w:t>
            </w:r>
          </w:p>
        </w:tc>
        <w:tc>
          <w:tcPr>
            <w:tcW w:w="756"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7F085C" w:rsidRDefault="0056422A" w:rsidP="001D131F">
            <w:pPr>
              <w:pStyle w:val="RepTable"/>
              <w:jc w:val="center"/>
              <w:rPr>
                <w:rFonts w:eastAsia="SimSun"/>
                <w:szCs w:val="20"/>
                <w:lang w:eastAsia="zh-CN"/>
              </w:rPr>
            </w:pPr>
            <w:r w:rsidRPr="0056422A">
              <w:rPr>
                <w:rFonts w:eastAsia="SimSun"/>
                <w:szCs w:val="20"/>
                <w:lang w:eastAsia="zh-CN"/>
              </w:rPr>
              <w:t>0.4</w:t>
            </w:r>
          </w:p>
        </w:tc>
      </w:tr>
    </w:tbl>
    <w:p w:rsidR="008C3F5C" w:rsidRDefault="008C3F5C" w:rsidP="008C3F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901"/>
        <w:gridCol w:w="2269"/>
        <w:gridCol w:w="2650"/>
        <w:gridCol w:w="2652"/>
      </w:tblGrid>
      <w:tr w:rsidR="008C3F5C" w:rsidRPr="006250F3" w:rsidTr="001D131F">
        <w:tc>
          <w:tcPr>
            <w:tcW w:w="1003" w:type="pct"/>
          </w:tcPr>
          <w:p w:rsidR="008C3F5C" w:rsidRPr="006250F3" w:rsidRDefault="008C3F5C" w:rsidP="001D131F">
            <w:pPr>
              <w:pStyle w:val="RepTableHeader"/>
              <w:rPr>
                <w:highlight w:val="green"/>
                <w:lang w:val="en-GB"/>
              </w:rPr>
            </w:pPr>
            <w:bookmarkStart w:id="465" w:name="_Toc328552261"/>
            <w:bookmarkStart w:id="466" w:name="_Toc332020610"/>
            <w:bookmarkStart w:id="467" w:name="_Toc332203453"/>
            <w:bookmarkStart w:id="468" w:name="_Toc332207005"/>
            <w:bookmarkStart w:id="469" w:name="_Toc332296174"/>
            <w:bookmarkStart w:id="470" w:name="_Toc336434741"/>
            <w:bookmarkStart w:id="471" w:name="_Toc397516893"/>
            <w:bookmarkStart w:id="472" w:name="_Toc398627873"/>
            <w:bookmarkStart w:id="473" w:name="_Toc399335728"/>
            <w:bookmarkStart w:id="474" w:name="_Toc399764869"/>
            <w:bookmarkStart w:id="475" w:name="_Toc412562660"/>
            <w:bookmarkStart w:id="476" w:name="_Toc412562737"/>
            <w:bookmarkStart w:id="477" w:name="_Toc413662729"/>
            <w:bookmarkStart w:id="478" w:name="_Toc413673586"/>
            <w:bookmarkStart w:id="479" w:name="_Toc413673684"/>
            <w:bookmarkStart w:id="480" w:name="_Toc413673755"/>
            <w:bookmarkStart w:id="481" w:name="_Toc413928654"/>
            <w:bookmarkStart w:id="482" w:name="_Toc413936268"/>
            <w:bookmarkStart w:id="483" w:name="_Toc413937979"/>
            <w:bookmarkStart w:id="484" w:name="_Toc414026706"/>
            <w:bookmarkStart w:id="485" w:name="_Toc414974085"/>
            <w:bookmarkStart w:id="486" w:name="_Toc450900959"/>
            <w:bookmarkStart w:id="487" w:name="_Toc450920625"/>
            <w:bookmarkStart w:id="488" w:name="_Toc450923746"/>
            <w:bookmarkStart w:id="489" w:name="_Toc454460979"/>
            <w:bookmarkStart w:id="490" w:name="_Toc454462815"/>
            <w:bookmarkEnd w:id="461"/>
            <w:bookmarkEnd w:id="462"/>
          </w:p>
        </w:tc>
        <w:tc>
          <w:tcPr>
            <w:tcW w:w="1198" w:type="pct"/>
          </w:tcPr>
          <w:p w:rsidR="008C3F5C" w:rsidRPr="006250F3" w:rsidRDefault="008C3F5C" w:rsidP="001D131F">
            <w:pPr>
              <w:pStyle w:val="RepTableHeader"/>
              <w:jc w:val="center"/>
              <w:rPr>
                <w:highlight w:val="green"/>
                <w:lang w:val="en-GB"/>
              </w:rPr>
            </w:pPr>
          </w:p>
        </w:tc>
        <w:tc>
          <w:tcPr>
            <w:tcW w:w="2799" w:type="pct"/>
            <w:gridSpan w:val="2"/>
          </w:tcPr>
          <w:p w:rsidR="008C3F5C" w:rsidRPr="006250F3" w:rsidRDefault="008C3F5C" w:rsidP="001D131F">
            <w:pPr>
              <w:pStyle w:val="RepTableHeader"/>
              <w:jc w:val="center"/>
              <w:rPr>
                <w:highlight w:val="green"/>
                <w:lang w:val="en-GB"/>
              </w:rPr>
            </w:pPr>
            <w:bookmarkStart w:id="491" w:name="_Hlk133922204"/>
            <w:proofErr w:type="spellStart"/>
            <w:r w:rsidRPr="00DE4B30">
              <w:rPr>
                <w:bCs/>
              </w:rPr>
              <w:t>Mefenpyr</w:t>
            </w:r>
            <w:proofErr w:type="spellEnd"/>
            <w:r w:rsidRPr="00DE4B30">
              <w:rPr>
                <w:bCs/>
              </w:rPr>
              <w:t>-diethyl</w:t>
            </w:r>
            <w:bookmarkEnd w:id="491"/>
          </w:p>
        </w:tc>
      </w:tr>
      <w:tr w:rsidR="008C3F5C" w:rsidRPr="006250F3" w:rsidTr="001D131F">
        <w:tc>
          <w:tcPr>
            <w:tcW w:w="1003" w:type="pct"/>
          </w:tcPr>
          <w:p w:rsidR="008C3F5C" w:rsidRPr="007F085C" w:rsidRDefault="008C3F5C" w:rsidP="001D131F">
            <w:pPr>
              <w:pStyle w:val="RepTableHeader"/>
              <w:rPr>
                <w:lang w:val="en-GB"/>
              </w:rPr>
            </w:pPr>
            <w:r w:rsidRPr="007F085C">
              <w:rPr>
                <w:lang w:val="en-GB"/>
              </w:rPr>
              <w:t>Model data</w:t>
            </w:r>
          </w:p>
        </w:tc>
        <w:tc>
          <w:tcPr>
            <w:tcW w:w="1198" w:type="pct"/>
          </w:tcPr>
          <w:p w:rsidR="008C3F5C" w:rsidRPr="007F085C" w:rsidRDefault="008C3F5C" w:rsidP="001D131F">
            <w:pPr>
              <w:pStyle w:val="RepTableHeader"/>
              <w:jc w:val="center"/>
              <w:rPr>
                <w:lang w:val="en-GB"/>
              </w:rPr>
            </w:pPr>
          </w:p>
        </w:tc>
        <w:tc>
          <w:tcPr>
            <w:tcW w:w="1399" w:type="pct"/>
          </w:tcPr>
          <w:p w:rsidR="008C3F5C" w:rsidRPr="007F085C" w:rsidRDefault="008C3F5C" w:rsidP="001D131F">
            <w:pPr>
              <w:pStyle w:val="RepTableHeader"/>
              <w:jc w:val="center"/>
              <w:rPr>
                <w:lang w:val="en-GB"/>
              </w:rPr>
            </w:pPr>
            <w:r w:rsidRPr="007F085C">
              <w:rPr>
                <w:lang w:val="en-GB"/>
              </w:rPr>
              <w:t xml:space="preserve">Total absorbed dose (mg/kg </w:t>
            </w:r>
            <w:proofErr w:type="spellStart"/>
            <w:r w:rsidRPr="007F085C">
              <w:rPr>
                <w:lang w:val="en-GB"/>
              </w:rPr>
              <w:t>bw</w:t>
            </w:r>
            <w:proofErr w:type="spellEnd"/>
            <w:r w:rsidRPr="007F085C">
              <w:rPr>
                <w:lang w:val="en-GB"/>
              </w:rPr>
              <w:t>/day)</w:t>
            </w:r>
          </w:p>
        </w:tc>
        <w:tc>
          <w:tcPr>
            <w:tcW w:w="1400" w:type="pct"/>
          </w:tcPr>
          <w:p w:rsidR="008C3F5C" w:rsidRPr="007F085C" w:rsidRDefault="008C3F5C" w:rsidP="001D131F">
            <w:pPr>
              <w:pStyle w:val="RepTableHeader"/>
              <w:jc w:val="center"/>
              <w:rPr>
                <w:lang w:val="en-GB"/>
              </w:rPr>
            </w:pPr>
            <w:r w:rsidRPr="007F085C">
              <w:rPr>
                <w:lang w:val="en-GB"/>
              </w:rPr>
              <w:t>% of systemic AOEL</w:t>
            </w:r>
          </w:p>
        </w:tc>
      </w:tr>
      <w:tr w:rsidR="008C3F5C" w:rsidRPr="006250F3" w:rsidTr="001D131F">
        <w:tc>
          <w:tcPr>
            <w:tcW w:w="5000" w:type="pct"/>
            <w:gridSpan w:val="4"/>
          </w:tcPr>
          <w:p w:rsidR="008C3F5C" w:rsidRPr="007F085C" w:rsidRDefault="008C3F5C" w:rsidP="001D131F">
            <w:pPr>
              <w:pStyle w:val="RepTable"/>
              <w:rPr>
                <w:szCs w:val="20"/>
              </w:rPr>
            </w:pPr>
            <w:r w:rsidRPr="001A754A">
              <w:rPr>
                <w:szCs w:val="20"/>
              </w:rPr>
              <w:t>Tractor mounted boom spray application outdoors to low crops</w:t>
            </w:r>
          </w:p>
          <w:p w:rsidR="008C3F5C" w:rsidRPr="00804FA9" w:rsidRDefault="008C3F5C" w:rsidP="001D131F">
            <w:pPr>
              <w:widowControl w:val="0"/>
              <w:rPr>
                <w:b/>
                <w:noProof/>
                <w:sz w:val="20"/>
                <w:szCs w:val="20"/>
                <w:u w:val="single"/>
                <w:lang w:val="en-GB"/>
              </w:rPr>
            </w:pPr>
            <w:r w:rsidRPr="00804FA9">
              <w:rPr>
                <w:b/>
                <w:noProof/>
                <w:sz w:val="20"/>
                <w:szCs w:val="20"/>
                <w:u w:val="single"/>
                <w:lang w:val="en-GB"/>
              </w:rPr>
              <w:t>Buffer zone: 2-3 (m)</w:t>
            </w:r>
          </w:p>
          <w:p w:rsidR="008C3F5C" w:rsidRPr="007F085C" w:rsidRDefault="008C3F5C" w:rsidP="001D131F">
            <w:pPr>
              <w:widowControl w:val="0"/>
              <w:rPr>
                <w:noProof/>
                <w:sz w:val="20"/>
                <w:szCs w:val="20"/>
                <w:lang w:val="en-GB"/>
              </w:rPr>
            </w:pPr>
            <w:r w:rsidRPr="007F085C">
              <w:rPr>
                <w:noProof/>
                <w:sz w:val="20"/>
                <w:szCs w:val="20"/>
                <w:lang w:val="en-GB"/>
              </w:rPr>
              <w:t xml:space="preserve">Drift reduction technology: </w:t>
            </w:r>
            <w:r>
              <w:rPr>
                <w:noProof/>
                <w:sz w:val="20"/>
                <w:szCs w:val="20"/>
                <w:lang w:val="en-GB"/>
              </w:rPr>
              <w:t>No</w:t>
            </w:r>
          </w:p>
          <w:p w:rsidR="008C3F5C" w:rsidRPr="007F085C" w:rsidRDefault="008C3F5C" w:rsidP="001D131F">
            <w:pPr>
              <w:keepNext/>
              <w:widowControl w:val="0"/>
              <w:rPr>
                <w:noProof/>
                <w:sz w:val="20"/>
                <w:szCs w:val="20"/>
                <w:lang w:val="en-GB"/>
              </w:rPr>
            </w:pPr>
            <w:r w:rsidRPr="007F085C">
              <w:rPr>
                <w:noProof/>
                <w:sz w:val="20"/>
                <w:szCs w:val="20"/>
                <w:lang w:val="en-GB"/>
              </w:rPr>
              <w:t>DT</w:t>
            </w:r>
            <w:r w:rsidRPr="007F085C">
              <w:rPr>
                <w:noProof/>
                <w:sz w:val="20"/>
                <w:szCs w:val="20"/>
                <w:vertAlign w:val="subscript"/>
                <w:lang w:val="en-GB"/>
              </w:rPr>
              <w:t>50</w:t>
            </w:r>
            <w:r w:rsidRPr="007F085C">
              <w:rPr>
                <w:noProof/>
                <w:sz w:val="20"/>
                <w:szCs w:val="20"/>
                <w:lang w:val="en-GB"/>
              </w:rPr>
              <w:t xml:space="preserve">: </w:t>
            </w:r>
            <w:r>
              <w:rPr>
                <w:noProof/>
                <w:sz w:val="20"/>
                <w:szCs w:val="20"/>
                <w:lang w:val="en-GB"/>
              </w:rPr>
              <w:t>30</w:t>
            </w:r>
            <w:r w:rsidRPr="007F085C">
              <w:rPr>
                <w:noProof/>
                <w:sz w:val="20"/>
                <w:szCs w:val="20"/>
                <w:lang w:val="en-GB"/>
              </w:rPr>
              <w:t xml:space="preserve"> days</w:t>
            </w:r>
          </w:p>
          <w:p w:rsidR="008C3F5C" w:rsidRPr="007F085C" w:rsidRDefault="008C3F5C" w:rsidP="001D131F">
            <w:pPr>
              <w:widowControl w:val="0"/>
              <w:rPr>
                <w:noProof/>
                <w:sz w:val="20"/>
                <w:szCs w:val="20"/>
                <w:lang w:val="en-GB"/>
              </w:rPr>
            </w:pPr>
            <w:r w:rsidRPr="007F085C">
              <w:rPr>
                <w:noProof/>
                <w:sz w:val="20"/>
                <w:szCs w:val="20"/>
                <w:lang w:val="en-GB"/>
              </w:rPr>
              <w:t xml:space="preserve">DFR: </w:t>
            </w:r>
            <w:r>
              <w:rPr>
                <w:noProof/>
                <w:sz w:val="20"/>
                <w:szCs w:val="20"/>
                <w:lang w:val="en-GB"/>
              </w:rPr>
              <w:t>3</w:t>
            </w:r>
            <w:r w:rsidRPr="007F085C">
              <w:rPr>
                <w:noProof/>
                <w:sz w:val="20"/>
                <w:szCs w:val="20"/>
                <w:lang w:val="en-GB"/>
              </w:rPr>
              <w:t xml:space="preserve"> µg/cm</w:t>
            </w:r>
            <w:r w:rsidRPr="007F085C">
              <w:rPr>
                <w:noProof/>
                <w:sz w:val="20"/>
                <w:szCs w:val="20"/>
                <w:vertAlign w:val="superscript"/>
                <w:lang w:val="en-GB"/>
              </w:rPr>
              <w:t>2</w:t>
            </w:r>
            <w:r w:rsidRPr="007F085C">
              <w:rPr>
                <w:noProof/>
                <w:sz w:val="20"/>
                <w:szCs w:val="20"/>
                <w:lang w:val="en-GB"/>
              </w:rPr>
              <w:t>/kg a.s./ha</w:t>
            </w:r>
          </w:p>
          <w:p w:rsidR="008C3F5C" w:rsidRPr="007F085C" w:rsidRDefault="008C3F5C" w:rsidP="001D131F">
            <w:pPr>
              <w:pStyle w:val="RepTable"/>
              <w:rPr>
                <w:szCs w:val="20"/>
              </w:rPr>
            </w:pPr>
            <w:r w:rsidRPr="007F085C">
              <w:rPr>
                <w:szCs w:val="20"/>
              </w:rPr>
              <w:t xml:space="preserve">Interval between treatments: </w:t>
            </w:r>
            <w:r>
              <w:rPr>
                <w:szCs w:val="20"/>
              </w:rPr>
              <w:t>365</w:t>
            </w:r>
            <w:r w:rsidRPr="007F085C">
              <w:rPr>
                <w:szCs w:val="20"/>
              </w:rPr>
              <w:t xml:space="preserve"> days </w:t>
            </w:r>
          </w:p>
        </w:tc>
      </w:tr>
      <w:tr w:rsidR="008C3F5C" w:rsidRPr="006250F3" w:rsidTr="001D131F">
        <w:tc>
          <w:tcPr>
            <w:tcW w:w="2201" w:type="pct"/>
            <w:gridSpan w:val="2"/>
          </w:tcPr>
          <w:p w:rsidR="008C3F5C" w:rsidRPr="007F085C" w:rsidRDefault="008C3F5C" w:rsidP="001D131F">
            <w:pPr>
              <w:pStyle w:val="RepTable"/>
              <w:rPr>
                <w:szCs w:val="20"/>
                <w:lang w:val="en-US"/>
              </w:rPr>
            </w:pPr>
            <w:r w:rsidRPr="007F085C">
              <w:rPr>
                <w:szCs w:val="20"/>
              </w:rPr>
              <w:t>Number of applications and application rate</w:t>
            </w:r>
          </w:p>
        </w:tc>
        <w:tc>
          <w:tcPr>
            <w:tcW w:w="2799" w:type="pct"/>
            <w:gridSpan w:val="2"/>
          </w:tcPr>
          <w:p w:rsidR="008C3F5C" w:rsidRPr="007F085C" w:rsidRDefault="009E69D0" w:rsidP="001D131F">
            <w:pPr>
              <w:pStyle w:val="RepTable"/>
              <w:rPr>
                <w:szCs w:val="20"/>
              </w:rPr>
            </w:pPr>
            <w:r w:rsidRPr="009E69D0">
              <w:rPr>
                <w:szCs w:val="20"/>
              </w:rPr>
              <w:t>1 x 0.04785 kg a.s./ha</w:t>
            </w:r>
          </w:p>
        </w:tc>
      </w:tr>
      <w:tr w:rsidR="008C3F5C" w:rsidRPr="006250F3" w:rsidTr="001D131F">
        <w:tc>
          <w:tcPr>
            <w:tcW w:w="1003" w:type="pct"/>
            <w:vMerge w:val="restart"/>
          </w:tcPr>
          <w:p w:rsidR="008C3F5C" w:rsidRPr="007F085C" w:rsidRDefault="008C3F5C" w:rsidP="001D131F">
            <w:pPr>
              <w:pStyle w:val="RepTable"/>
              <w:rPr>
                <w:szCs w:val="20"/>
              </w:rPr>
            </w:pPr>
            <w:r w:rsidRPr="007F085C">
              <w:rPr>
                <w:szCs w:val="20"/>
              </w:rPr>
              <w:t>Resident child</w:t>
            </w:r>
          </w:p>
          <w:p w:rsidR="008C3F5C" w:rsidRPr="007F085C" w:rsidRDefault="008C3F5C" w:rsidP="001D131F">
            <w:pPr>
              <w:pStyle w:val="RepTable"/>
              <w:rPr>
                <w:szCs w:val="20"/>
              </w:rPr>
            </w:pPr>
            <w:r w:rsidRPr="007F085C">
              <w:rPr>
                <w:szCs w:val="20"/>
              </w:rPr>
              <w:t>Body weight: 10 kg</w:t>
            </w:r>
          </w:p>
        </w:tc>
        <w:tc>
          <w:tcPr>
            <w:tcW w:w="1198" w:type="pct"/>
          </w:tcPr>
          <w:p w:rsidR="008C3F5C" w:rsidRPr="007F085C" w:rsidRDefault="008C3F5C" w:rsidP="001D131F">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0.005</w:t>
            </w:r>
          </w:p>
        </w:tc>
        <w:tc>
          <w:tcPr>
            <w:tcW w:w="1400" w:type="pct"/>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4.5</w:t>
            </w:r>
          </w:p>
        </w:tc>
      </w:tr>
      <w:tr w:rsidR="008C3F5C" w:rsidRPr="006250F3" w:rsidTr="001D131F">
        <w:tc>
          <w:tcPr>
            <w:tcW w:w="1003" w:type="pct"/>
            <w:vMerge/>
          </w:tcPr>
          <w:p w:rsidR="008C3F5C" w:rsidRPr="007F085C" w:rsidRDefault="008C3F5C" w:rsidP="001D131F">
            <w:pPr>
              <w:pStyle w:val="RepTable"/>
              <w:rPr>
                <w:szCs w:val="20"/>
              </w:rPr>
            </w:pPr>
          </w:p>
        </w:tc>
        <w:tc>
          <w:tcPr>
            <w:tcW w:w="1198" w:type="pct"/>
          </w:tcPr>
          <w:p w:rsidR="008C3F5C" w:rsidRPr="007F085C" w:rsidRDefault="008C3F5C" w:rsidP="001D131F">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0.0008</w:t>
            </w:r>
          </w:p>
        </w:tc>
        <w:tc>
          <w:tcPr>
            <w:tcW w:w="1400" w:type="pct"/>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0.8</w:t>
            </w:r>
          </w:p>
        </w:tc>
      </w:tr>
      <w:tr w:rsidR="008C3F5C" w:rsidRPr="006250F3" w:rsidTr="001D131F">
        <w:tc>
          <w:tcPr>
            <w:tcW w:w="1003" w:type="pct"/>
            <w:vMerge/>
          </w:tcPr>
          <w:p w:rsidR="008C3F5C" w:rsidRPr="007F085C" w:rsidRDefault="008C3F5C" w:rsidP="001D131F">
            <w:pPr>
              <w:pStyle w:val="RepTable"/>
              <w:rPr>
                <w:szCs w:val="20"/>
              </w:rPr>
            </w:pPr>
          </w:p>
        </w:tc>
        <w:tc>
          <w:tcPr>
            <w:tcW w:w="1198" w:type="pct"/>
          </w:tcPr>
          <w:p w:rsidR="008C3F5C" w:rsidRPr="007F085C" w:rsidRDefault="008C3F5C" w:rsidP="001D131F">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0.0005</w:t>
            </w:r>
          </w:p>
        </w:tc>
        <w:tc>
          <w:tcPr>
            <w:tcW w:w="1400" w:type="pct"/>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0.5</w:t>
            </w:r>
          </w:p>
        </w:tc>
      </w:tr>
      <w:tr w:rsidR="008C3F5C" w:rsidRPr="006250F3" w:rsidTr="001D131F">
        <w:tc>
          <w:tcPr>
            <w:tcW w:w="1003" w:type="pct"/>
            <w:vMerge/>
          </w:tcPr>
          <w:p w:rsidR="008C3F5C" w:rsidRPr="007F085C" w:rsidRDefault="008C3F5C" w:rsidP="001D131F">
            <w:pPr>
              <w:pStyle w:val="RepTable"/>
              <w:rPr>
                <w:szCs w:val="20"/>
              </w:rPr>
            </w:pPr>
          </w:p>
        </w:tc>
        <w:tc>
          <w:tcPr>
            <w:tcW w:w="1198" w:type="pct"/>
          </w:tcPr>
          <w:p w:rsidR="008C3F5C" w:rsidRPr="007F085C" w:rsidRDefault="008C3F5C" w:rsidP="001D131F">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0.006</w:t>
            </w:r>
          </w:p>
        </w:tc>
        <w:tc>
          <w:tcPr>
            <w:tcW w:w="1400" w:type="pct"/>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5.7</w:t>
            </w:r>
          </w:p>
        </w:tc>
      </w:tr>
      <w:tr w:rsidR="008C3F5C" w:rsidRPr="006250F3" w:rsidTr="001D131F">
        <w:tc>
          <w:tcPr>
            <w:tcW w:w="1003" w:type="pct"/>
            <w:vMerge/>
          </w:tcPr>
          <w:p w:rsidR="008C3F5C" w:rsidRPr="007F085C" w:rsidRDefault="008C3F5C" w:rsidP="001D131F">
            <w:pPr>
              <w:pStyle w:val="RepTable"/>
              <w:rPr>
                <w:szCs w:val="20"/>
              </w:rPr>
            </w:pPr>
          </w:p>
        </w:tc>
        <w:tc>
          <w:tcPr>
            <w:tcW w:w="1198" w:type="pct"/>
          </w:tcPr>
          <w:p w:rsidR="008C3F5C" w:rsidRPr="007F085C" w:rsidRDefault="008C3F5C" w:rsidP="001D131F">
            <w:pPr>
              <w:pStyle w:val="RepTable"/>
              <w:rPr>
                <w:b/>
                <w:szCs w:val="20"/>
              </w:rPr>
            </w:pPr>
            <w:r w:rsidRPr="007F085C">
              <w:rPr>
                <w:b/>
                <w:szCs w:val="20"/>
              </w:rPr>
              <w:t>Sum (mean)</w:t>
            </w:r>
          </w:p>
        </w:tc>
        <w:tc>
          <w:tcPr>
            <w:tcW w:w="1399" w:type="pct"/>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0.008</w:t>
            </w:r>
          </w:p>
        </w:tc>
        <w:tc>
          <w:tcPr>
            <w:tcW w:w="1400" w:type="pct"/>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8.2</w:t>
            </w:r>
          </w:p>
        </w:tc>
      </w:tr>
      <w:tr w:rsidR="008C3F5C" w:rsidRPr="006250F3" w:rsidTr="001D131F">
        <w:tc>
          <w:tcPr>
            <w:tcW w:w="1003" w:type="pct"/>
            <w:vMerge w:val="restart"/>
            <w:tcBorders>
              <w:top w:val="single" w:sz="4" w:space="0" w:color="auto"/>
              <w:left w:val="single" w:sz="4" w:space="0" w:color="auto"/>
              <w:right w:val="single" w:sz="4" w:space="0" w:color="auto"/>
            </w:tcBorders>
          </w:tcPr>
          <w:p w:rsidR="008C3F5C" w:rsidRPr="007F085C" w:rsidRDefault="008C3F5C" w:rsidP="001D131F">
            <w:pPr>
              <w:pStyle w:val="RepTable"/>
              <w:rPr>
                <w:szCs w:val="20"/>
              </w:rPr>
            </w:pPr>
            <w:r w:rsidRPr="007F085C">
              <w:rPr>
                <w:szCs w:val="20"/>
              </w:rPr>
              <w:t>Resident adult</w:t>
            </w:r>
          </w:p>
          <w:p w:rsidR="008C3F5C" w:rsidRPr="007F085C" w:rsidRDefault="008C3F5C" w:rsidP="001D131F">
            <w:pPr>
              <w:pStyle w:val="RepTable"/>
              <w:rPr>
                <w:szCs w:val="20"/>
              </w:rPr>
            </w:pPr>
            <w:r w:rsidRPr="007F085C">
              <w:rPr>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0.001</w:t>
            </w:r>
          </w:p>
        </w:tc>
        <w:tc>
          <w:tcPr>
            <w:tcW w:w="1400"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1.1</w:t>
            </w:r>
          </w:p>
        </w:tc>
      </w:tr>
      <w:tr w:rsidR="008C3F5C" w:rsidRPr="006250F3" w:rsidTr="001D131F">
        <w:tc>
          <w:tcPr>
            <w:tcW w:w="1003"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0.0003</w:t>
            </w:r>
          </w:p>
        </w:tc>
        <w:tc>
          <w:tcPr>
            <w:tcW w:w="1400"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0.3</w:t>
            </w:r>
          </w:p>
        </w:tc>
      </w:tr>
      <w:tr w:rsidR="008C3F5C" w:rsidRPr="006250F3" w:rsidTr="001D131F">
        <w:tc>
          <w:tcPr>
            <w:tcW w:w="1003"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0.0002</w:t>
            </w:r>
          </w:p>
        </w:tc>
        <w:tc>
          <w:tcPr>
            <w:tcW w:w="1400"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0.2</w:t>
            </w:r>
          </w:p>
        </w:tc>
      </w:tr>
      <w:tr w:rsidR="008C3F5C" w:rsidRPr="006250F3" w:rsidTr="001D131F">
        <w:tc>
          <w:tcPr>
            <w:tcW w:w="1003" w:type="pct"/>
            <w:vMerge/>
            <w:tcBorders>
              <w:left w:val="single" w:sz="4" w:space="0" w:color="auto"/>
              <w:right w:val="single" w:sz="4" w:space="0" w:color="auto"/>
            </w:tcBorders>
          </w:tcPr>
          <w:p w:rsidR="008C3F5C" w:rsidRPr="007F085C" w:rsidRDefault="008C3F5C" w:rsidP="001D131F">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399" w:type="pct"/>
            <w:tcBorders>
              <w:top w:val="single" w:sz="4" w:space="0" w:color="auto"/>
              <w:left w:val="single" w:sz="4" w:space="0" w:color="auto"/>
              <w:bottom w:val="single" w:sz="4" w:space="0" w:color="auto"/>
              <w:right w:val="single" w:sz="4" w:space="0" w:color="auto"/>
            </w:tcBorders>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0.003</w:t>
            </w:r>
          </w:p>
        </w:tc>
        <w:tc>
          <w:tcPr>
            <w:tcW w:w="1400"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3.1</w:t>
            </w:r>
          </w:p>
        </w:tc>
      </w:tr>
      <w:tr w:rsidR="008C3F5C" w:rsidRPr="00B32849" w:rsidTr="001D131F">
        <w:tc>
          <w:tcPr>
            <w:tcW w:w="1003" w:type="pct"/>
            <w:vMerge/>
            <w:tcBorders>
              <w:left w:val="single" w:sz="4" w:space="0" w:color="auto"/>
              <w:bottom w:val="single" w:sz="4" w:space="0" w:color="auto"/>
              <w:right w:val="single" w:sz="4" w:space="0" w:color="auto"/>
            </w:tcBorders>
          </w:tcPr>
          <w:p w:rsidR="008C3F5C" w:rsidRPr="007F085C" w:rsidRDefault="008C3F5C" w:rsidP="001D131F">
            <w:pPr>
              <w:pStyle w:val="RepTable"/>
              <w:rPr>
                <w:szCs w:val="20"/>
              </w:rPr>
            </w:pPr>
          </w:p>
        </w:tc>
        <w:tc>
          <w:tcPr>
            <w:tcW w:w="1198" w:type="pct"/>
            <w:tcBorders>
              <w:top w:val="single" w:sz="4" w:space="0" w:color="auto"/>
              <w:left w:val="single" w:sz="4" w:space="0" w:color="auto"/>
              <w:bottom w:val="single" w:sz="4" w:space="0" w:color="auto"/>
              <w:right w:val="single" w:sz="4" w:space="0" w:color="auto"/>
            </w:tcBorders>
          </w:tcPr>
          <w:p w:rsidR="008C3F5C" w:rsidRPr="007F085C" w:rsidRDefault="008C3F5C" w:rsidP="001D131F">
            <w:pPr>
              <w:pStyle w:val="RepTable"/>
              <w:rPr>
                <w:szCs w:val="20"/>
              </w:rPr>
            </w:pPr>
            <w:r w:rsidRPr="007F085C">
              <w:rPr>
                <w:b/>
                <w:szCs w:val="20"/>
              </w:rPr>
              <w:t>Sum (mean</w:t>
            </w:r>
            <w:r w:rsidRPr="007F085C">
              <w:rPr>
                <w:szCs w:val="20"/>
              </w:rPr>
              <w:t>)</w:t>
            </w:r>
          </w:p>
        </w:tc>
        <w:tc>
          <w:tcPr>
            <w:tcW w:w="1399" w:type="pct"/>
            <w:tcBorders>
              <w:top w:val="single" w:sz="4" w:space="0" w:color="auto"/>
              <w:left w:val="single" w:sz="4" w:space="0" w:color="auto"/>
              <w:bottom w:val="single" w:sz="4" w:space="0" w:color="auto"/>
              <w:right w:val="single" w:sz="4" w:space="0" w:color="auto"/>
            </w:tcBorders>
          </w:tcPr>
          <w:p w:rsidR="008C3F5C" w:rsidRPr="007F085C" w:rsidRDefault="00AE1099" w:rsidP="001D131F">
            <w:pPr>
              <w:pStyle w:val="RepTable"/>
              <w:jc w:val="center"/>
              <w:rPr>
                <w:rFonts w:eastAsia="SimSun"/>
                <w:szCs w:val="20"/>
                <w:lang w:eastAsia="zh-CN"/>
              </w:rPr>
            </w:pPr>
            <w:r w:rsidRPr="00AE1099">
              <w:rPr>
                <w:rFonts w:eastAsia="SimSun"/>
                <w:szCs w:val="20"/>
                <w:lang w:eastAsia="zh-CN"/>
              </w:rPr>
              <w:t>0.003</w:t>
            </w:r>
          </w:p>
        </w:tc>
        <w:tc>
          <w:tcPr>
            <w:tcW w:w="1400"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8C3F5C" w:rsidRPr="006250F3" w:rsidRDefault="00AE1099" w:rsidP="001D131F">
            <w:pPr>
              <w:pStyle w:val="RepTable"/>
              <w:jc w:val="center"/>
              <w:rPr>
                <w:rFonts w:eastAsia="SimSun"/>
                <w:szCs w:val="20"/>
                <w:highlight w:val="green"/>
                <w:lang w:eastAsia="zh-CN"/>
              </w:rPr>
            </w:pPr>
            <w:r w:rsidRPr="00AE1099">
              <w:rPr>
                <w:rFonts w:eastAsia="SimSun"/>
                <w:szCs w:val="20"/>
                <w:lang w:eastAsia="zh-CN"/>
              </w:rPr>
              <w:t>3.4</w:t>
            </w:r>
          </w:p>
        </w:tc>
      </w:tr>
    </w:tbl>
    <w:p w:rsidR="008C3F5C" w:rsidRPr="00804FA9" w:rsidRDefault="00804FA9" w:rsidP="00990869">
      <w:pPr>
        <w:shd w:val="clear" w:color="auto" w:fill="00FF00"/>
        <w:rPr>
          <w:b/>
          <w:sz w:val="24"/>
          <w:szCs w:val="24"/>
        </w:rPr>
      </w:pPr>
      <w:r w:rsidRPr="00804FA9">
        <w:rPr>
          <w:b/>
          <w:sz w:val="24"/>
          <w:szCs w:val="24"/>
        </w:rPr>
        <w:lastRenderedPageBreak/>
        <w:t xml:space="preserve">The assessment of the exposure of residents and/or bystanders indicated that the permissible operator exposure level (AOEL) for </w:t>
      </w:r>
      <w:proofErr w:type="spellStart"/>
      <w:r w:rsidRPr="00804FA9">
        <w:rPr>
          <w:b/>
          <w:sz w:val="24"/>
          <w:szCs w:val="24"/>
        </w:rPr>
        <w:t>mesosulfuron</w:t>
      </w:r>
      <w:proofErr w:type="spellEnd"/>
      <w:r w:rsidRPr="00804FA9">
        <w:rPr>
          <w:b/>
          <w:sz w:val="24"/>
          <w:szCs w:val="24"/>
        </w:rPr>
        <w:t xml:space="preserve">-methyl, </w:t>
      </w:r>
      <w:proofErr w:type="spellStart"/>
      <w:r w:rsidRPr="00804FA9">
        <w:rPr>
          <w:b/>
          <w:sz w:val="24"/>
          <w:szCs w:val="24"/>
        </w:rPr>
        <w:t>iodosulfuron</w:t>
      </w:r>
      <w:proofErr w:type="spellEnd"/>
      <w:r w:rsidRPr="00804FA9">
        <w:rPr>
          <w:b/>
          <w:sz w:val="24"/>
          <w:szCs w:val="24"/>
        </w:rPr>
        <w:t xml:space="preserve">-methyl-sodium and </w:t>
      </w:r>
      <w:proofErr w:type="spellStart"/>
      <w:r w:rsidRPr="00804FA9">
        <w:rPr>
          <w:b/>
          <w:sz w:val="24"/>
          <w:szCs w:val="24"/>
        </w:rPr>
        <w:t>mefenpyr</w:t>
      </w:r>
      <w:proofErr w:type="spellEnd"/>
      <w:r w:rsidRPr="00804FA9">
        <w:rPr>
          <w:b/>
          <w:sz w:val="24"/>
          <w:szCs w:val="24"/>
        </w:rPr>
        <w:t>-diethyl will not be exceeded under the conditions of the intended use and maintaining a buffer zone of 2-3 m.</w:t>
      </w:r>
    </w:p>
    <w:p w:rsidR="008C3F5C" w:rsidRPr="00B32849" w:rsidRDefault="008C3F5C" w:rsidP="008C3F5C">
      <w:pPr>
        <w:pStyle w:val="Nagwek4"/>
        <w:rPr>
          <w:lang w:val="en-GB"/>
        </w:rPr>
      </w:pPr>
      <w:bookmarkStart w:id="492" w:name="_Toc138229973"/>
      <w:bookmarkStart w:id="493" w:name="_Toc179811306"/>
      <w:r w:rsidRPr="00B32849">
        <w:rPr>
          <w:lang w:val="en-GB"/>
        </w:rPr>
        <w:t>Measurement of resident and/or bystander exposure</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2"/>
      <w:bookmarkEnd w:id="493"/>
      <w:r w:rsidRPr="00B32849">
        <w:rPr>
          <w:lang w:val="en-GB"/>
        </w:rPr>
        <w:t xml:space="preserve"> </w:t>
      </w:r>
    </w:p>
    <w:p w:rsidR="008C3F5C" w:rsidRPr="00B32849" w:rsidRDefault="008C3F5C" w:rsidP="008C3F5C">
      <w:pPr>
        <w:pStyle w:val="RepStandard"/>
      </w:pPr>
      <w:r w:rsidRPr="00B32849">
        <w:t xml:space="preserve">Since the resident and/or bystander exposure estimations carried out indicated that the acceptable operator exposure level (AOEL) for </w:t>
      </w:r>
      <w:proofErr w:type="spellStart"/>
      <w:r>
        <w:t>mesosulfuron</w:t>
      </w:r>
      <w:proofErr w:type="spellEnd"/>
      <w:r>
        <w:t xml:space="preserve">-methyl, </w:t>
      </w:r>
      <w:proofErr w:type="spellStart"/>
      <w:r>
        <w:t>iodosulfuron</w:t>
      </w:r>
      <w:proofErr w:type="spellEnd"/>
      <w:r>
        <w:t>-methyl-sodium</w:t>
      </w:r>
      <w:r w:rsidRPr="00B32849">
        <w:t xml:space="preserve"> </w:t>
      </w:r>
      <w:r>
        <w:t xml:space="preserve">and </w:t>
      </w:r>
      <w:proofErr w:type="spellStart"/>
      <w:r>
        <w:rPr>
          <w:bCs/>
        </w:rPr>
        <w:t>m</w:t>
      </w:r>
      <w:r w:rsidRPr="00DE4B30">
        <w:rPr>
          <w:bCs/>
        </w:rPr>
        <w:t>efenpyr</w:t>
      </w:r>
      <w:proofErr w:type="spellEnd"/>
      <w:r w:rsidRPr="00DE4B30">
        <w:rPr>
          <w:bCs/>
        </w:rPr>
        <w:t>-diethyl</w:t>
      </w:r>
      <w:r w:rsidRPr="00B32849">
        <w:t xml:space="preserve"> will not be exceeded under conditions of intended uses and considering above mentioned risk mitigation measures, a study to provide measurements of </w:t>
      </w:r>
      <w:r>
        <w:t>resident/</w:t>
      </w:r>
      <w:r w:rsidRPr="00B32849">
        <w:t>bystander exposure was not necessary and was therefore not performed.</w:t>
      </w:r>
    </w:p>
    <w:p w:rsidR="008C3F5C" w:rsidRPr="00B32849" w:rsidRDefault="008C3F5C" w:rsidP="008C3F5C">
      <w:pPr>
        <w:pStyle w:val="Nagwek3"/>
      </w:pPr>
      <w:bookmarkStart w:id="494" w:name="_Toc328552158"/>
      <w:bookmarkStart w:id="495" w:name="_Toc332020601"/>
      <w:bookmarkStart w:id="496" w:name="_Toc332203454"/>
      <w:bookmarkStart w:id="497" w:name="_Toc332207006"/>
      <w:bookmarkStart w:id="498" w:name="_Toc332296175"/>
      <w:bookmarkStart w:id="499" w:name="_Toc336434742"/>
      <w:bookmarkStart w:id="500" w:name="_Toc397516894"/>
      <w:bookmarkStart w:id="501" w:name="_Toc398627874"/>
      <w:bookmarkStart w:id="502" w:name="_Toc399335729"/>
      <w:bookmarkStart w:id="503" w:name="_Toc399764870"/>
      <w:bookmarkStart w:id="504" w:name="_Toc412562661"/>
      <w:bookmarkStart w:id="505" w:name="_Toc412562738"/>
      <w:bookmarkStart w:id="506" w:name="_Toc413662730"/>
      <w:bookmarkStart w:id="507" w:name="_Toc413673587"/>
      <w:bookmarkStart w:id="508" w:name="_Toc413673685"/>
      <w:bookmarkStart w:id="509" w:name="_Toc413673756"/>
      <w:bookmarkStart w:id="510" w:name="_Toc413928655"/>
      <w:bookmarkStart w:id="511" w:name="_Toc413936269"/>
      <w:bookmarkStart w:id="512" w:name="_Toc413937980"/>
      <w:bookmarkStart w:id="513" w:name="_Toc414026707"/>
      <w:bookmarkStart w:id="514" w:name="_Toc414974086"/>
      <w:bookmarkStart w:id="515" w:name="_Toc450900960"/>
      <w:bookmarkStart w:id="516" w:name="_Toc450920626"/>
      <w:bookmarkStart w:id="517" w:name="_Toc450923747"/>
      <w:bookmarkStart w:id="518" w:name="_Toc454460980"/>
      <w:bookmarkStart w:id="519" w:name="_Toc454462816"/>
      <w:bookmarkStart w:id="520" w:name="_Toc138229974"/>
      <w:bookmarkStart w:id="521" w:name="_Toc179811307"/>
      <w:r w:rsidRPr="00B32849">
        <w:t>Combined exposure</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8C3F5C" w:rsidRPr="00B32849" w:rsidRDefault="008C3F5C" w:rsidP="008C3F5C">
      <w:pPr>
        <w:pStyle w:val="RepStandard"/>
        <w:suppressAutoHyphens/>
      </w:pPr>
      <w:r w:rsidRPr="001A754A">
        <w:t xml:space="preserve">The product is a mixture of two active substances and the </w:t>
      </w:r>
      <w:proofErr w:type="spellStart"/>
      <w:r w:rsidRPr="001A754A">
        <w:t>safener</w:t>
      </w:r>
      <w:proofErr w:type="spellEnd"/>
      <w:r w:rsidRPr="001A754A">
        <w:t xml:space="preserve"> </w:t>
      </w:r>
      <w:proofErr w:type="spellStart"/>
      <w:r w:rsidRPr="001A754A">
        <w:t>mefenpyr</w:t>
      </w:r>
      <w:proofErr w:type="spellEnd"/>
      <w:r w:rsidRPr="001A754A">
        <w:t>-diethyl.</w:t>
      </w:r>
      <w:r w:rsidRPr="00B32849">
        <w:t xml:space="preserve"> </w:t>
      </w:r>
    </w:p>
    <w:p w:rsidR="008C3F5C" w:rsidRDefault="008C3F5C" w:rsidP="005E4E02"/>
    <w:p w:rsidR="008C3F5C" w:rsidRPr="008E4F25" w:rsidRDefault="008C3F5C" w:rsidP="008C3F5C">
      <w:pPr>
        <w:pStyle w:val="Nagwek4"/>
        <w:rPr>
          <w:lang w:val="en-GB"/>
        </w:rPr>
      </w:pPr>
      <w:bookmarkStart w:id="522" w:name="_Toc413673588"/>
      <w:bookmarkStart w:id="523" w:name="_Toc413673686"/>
      <w:bookmarkStart w:id="524" w:name="_Toc413673757"/>
      <w:bookmarkStart w:id="525" w:name="_Toc413928656"/>
      <w:bookmarkStart w:id="526" w:name="_Toc413936270"/>
      <w:bookmarkStart w:id="527" w:name="_Toc413937981"/>
      <w:bookmarkStart w:id="528" w:name="_Toc414026708"/>
      <w:bookmarkStart w:id="529" w:name="_Toc414974087"/>
      <w:bookmarkStart w:id="530" w:name="_Ref415659903"/>
      <w:bookmarkStart w:id="531" w:name="_Toc450900961"/>
      <w:bookmarkStart w:id="532" w:name="_Toc450920627"/>
      <w:bookmarkStart w:id="533" w:name="_Toc450923748"/>
      <w:bookmarkStart w:id="534" w:name="_Toc454460981"/>
      <w:bookmarkStart w:id="535" w:name="_Toc454462817"/>
      <w:bookmarkStart w:id="536" w:name="_Toc138229975"/>
      <w:bookmarkStart w:id="537" w:name="_Toc179811308"/>
      <w:r w:rsidRPr="00B32849">
        <w:rPr>
          <w:lang w:val="en-GB"/>
        </w:rPr>
        <w:t xml:space="preserve">Exposure </w:t>
      </w:r>
      <w:r>
        <w:rPr>
          <w:lang w:val="en-GB"/>
        </w:rPr>
        <w:t>a</w:t>
      </w:r>
      <w:r w:rsidRPr="00B32849">
        <w:rPr>
          <w:lang w:val="en-GB"/>
        </w:rPr>
        <w:t xml:space="preserve">ssessment of </w:t>
      </w:r>
      <w:r>
        <w:rPr>
          <w:lang w:val="en-GB"/>
        </w:rPr>
        <w:t>mesosulfuron-methyl,</w:t>
      </w:r>
      <w:r w:rsidRPr="00B32849">
        <w:rPr>
          <w:lang w:val="en-GB"/>
        </w:rPr>
        <w:t xml:space="preserve"> </w:t>
      </w:r>
      <w:r>
        <w:rPr>
          <w:lang w:val="en-GB"/>
        </w:rPr>
        <w:t>iodosulfuron-methyl-sodium</w:t>
      </w:r>
      <w:r w:rsidRPr="00B32849">
        <w:rPr>
          <w:lang w:val="en-GB"/>
        </w:rPr>
        <w:t xml:space="preserve"> </w:t>
      </w:r>
      <w:r>
        <w:rPr>
          <w:lang w:val="en-GB"/>
        </w:rPr>
        <w:t>and mefenpyr-diethyl</w:t>
      </w:r>
      <w:r w:rsidRPr="00B32849">
        <w:rPr>
          <w:lang w:val="en-GB"/>
        </w:rPr>
        <w:t xml:space="preserve"> in </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8E4F25">
        <w:rPr>
          <w:lang w:val="en-US"/>
        </w:rPr>
        <w:t>054-01-05</w:t>
      </w:r>
      <w:bookmarkEnd w:id="536"/>
      <w:bookmarkEnd w:id="537"/>
    </w:p>
    <w:p w:rsidR="008C3F5C" w:rsidRPr="00925A60" w:rsidRDefault="008C3F5C" w:rsidP="008C3F5C">
      <w:pPr>
        <w:pStyle w:val="RepStandard"/>
      </w:pPr>
      <w:r w:rsidRPr="00925A60">
        <w:t xml:space="preserve">Note: The combined toxicological effect of these active substances has not been investigated with regard to repeated dose toxicity. </w:t>
      </w:r>
    </w:p>
    <w:p w:rsidR="008C3F5C" w:rsidRPr="00925A60" w:rsidRDefault="008C3F5C" w:rsidP="008C3F5C">
      <w:pPr>
        <w:pStyle w:val="RepStandard"/>
      </w:pPr>
    </w:p>
    <w:p w:rsidR="008C3F5C" w:rsidRPr="00B32849" w:rsidRDefault="008C3F5C" w:rsidP="008C3F5C">
      <w:pPr>
        <w:pStyle w:val="RepStandard"/>
      </w:pPr>
      <w:r w:rsidRPr="00925A60">
        <w:t xml:space="preserve">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from </w:t>
      </w:r>
      <w:fldSimple w:instr=" REF _Ref413931092 \h  \* MERGEFORMAT ">
        <w:r w:rsidRPr="00925A60">
          <w:t>Table </w:t>
        </w:r>
        <w:r w:rsidRPr="00925A60">
          <w:rPr>
            <w:noProof/>
          </w:rPr>
          <w:t>6.6</w:t>
        </w:r>
        <w:r w:rsidRPr="00925A60">
          <w:noBreakHyphen/>
          <w:t>3</w:t>
        </w:r>
      </w:fldSimple>
      <w:r w:rsidRPr="00925A60">
        <w:t xml:space="preserve"> converted to decimal. The Hazard Index (HI) is the sum of the individual HQs.</w:t>
      </w:r>
      <w:r w:rsidRPr="00B32849">
        <w:t xml:space="preserve"> </w:t>
      </w:r>
    </w:p>
    <w:p w:rsidR="008C3F5C" w:rsidRPr="00B32849" w:rsidRDefault="008C3F5C" w:rsidP="008C3F5C">
      <w:pPr>
        <w:pStyle w:val="RepLabel"/>
      </w:pPr>
      <w:r w:rsidRPr="00B32849">
        <w:t>Table </w:t>
      </w:r>
      <w:r w:rsidR="00772379">
        <w:fldChar w:fldCharType="begin"/>
      </w:r>
      <w:r>
        <w:instrText xml:space="preserve"> STYLEREF 2 \s </w:instrText>
      </w:r>
      <w:r w:rsidR="00772379">
        <w:fldChar w:fldCharType="separate"/>
      </w:r>
      <w:r>
        <w:rPr>
          <w:noProof/>
        </w:rPr>
        <w:t>6.6</w:t>
      </w:r>
      <w:r w:rsidR="00772379">
        <w:fldChar w:fldCharType="end"/>
      </w:r>
      <w:r>
        <w:noBreakHyphen/>
      </w:r>
      <w:r w:rsidR="00772379">
        <w:fldChar w:fldCharType="begin"/>
      </w:r>
      <w:r>
        <w:instrText xml:space="preserve"> SEQ Table \* ARABIC \s 2 </w:instrText>
      </w:r>
      <w:r w:rsidR="00772379">
        <w:fldChar w:fldCharType="separate"/>
      </w:r>
      <w:r>
        <w:rPr>
          <w:noProof/>
        </w:rPr>
        <w:t>9</w:t>
      </w:r>
      <w:r w:rsidR="00772379">
        <w:fldChar w:fldCharType="end"/>
      </w:r>
      <w:r w:rsidRPr="00B32849">
        <w:t>:</w:t>
      </w:r>
      <w:r w:rsidRPr="00B32849">
        <w:tab/>
      </w:r>
      <w:r>
        <w:t>R</w:t>
      </w:r>
      <w:r w:rsidRPr="00B32849">
        <w:t>isk assessment from combined exposure</w:t>
      </w:r>
      <w:r>
        <w:t xml:space="preserv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2855"/>
        <w:gridCol w:w="3938"/>
        <w:gridCol w:w="2679"/>
      </w:tblGrid>
      <w:tr w:rsidR="008C3F5C" w:rsidRPr="00044F72" w:rsidTr="001D131F">
        <w:trPr>
          <w:tblHeader/>
        </w:trPr>
        <w:tc>
          <w:tcPr>
            <w:tcW w:w="1507" w:type="pct"/>
          </w:tcPr>
          <w:p w:rsidR="008C3F5C" w:rsidRPr="00044F72" w:rsidRDefault="008C3F5C" w:rsidP="001D131F">
            <w:pPr>
              <w:pStyle w:val="RepTableHeader"/>
              <w:jc w:val="center"/>
              <w:rPr>
                <w:lang w:val="en-GB"/>
              </w:rPr>
            </w:pPr>
            <w:r w:rsidRPr="00044F72">
              <w:rPr>
                <w:lang w:val="en-GB"/>
              </w:rPr>
              <w:t>Application scenario</w:t>
            </w:r>
          </w:p>
        </w:tc>
        <w:tc>
          <w:tcPr>
            <w:tcW w:w="2079" w:type="pct"/>
          </w:tcPr>
          <w:p w:rsidR="008C3F5C" w:rsidRPr="00044F72" w:rsidDel="004A4059" w:rsidRDefault="008C3F5C" w:rsidP="001D131F">
            <w:pPr>
              <w:pStyle w:val="RepTableHeader"/>
              <w:jc w:val="center"/>
              <w:rPr>
                <w:lang w:val="en-GB"/>
              </w:rPr>
            </w:pPr>
            <w:r w:rsidRPr="00044F72">
              <w:rPr>
                <w:lang w:val="en-GB"/>
              </w:rPr>
              <w:t xml:space="preserve">Active </w:t>
            </w:r>
            <w:r>
              <w:rPr>
                <w:lang w:val="en-GB"/>
              </w:rPr>
              <w:t>i</w:t>
            </w:r>
            <w:r w:rsidRPr="00044F72">
              <w:rPr>
                <w:lang w:val="en-GB"/>
              </w:rPr>
              <w:t>ngredient</w:t>
            </w:r>
          </w:p>
        </w:tc>
        <w:tc>
          <w:tcPr>
            <w:tcW w:w="1414" w:type="pct"/>
          </w:tcPr>
          <w:p w:rsidR="008C3F5C" w:rsidRPr="00044F72" w:rsidRDefault="008C3F5C" w:rsidP="001D131F">
            <w:pPr>
              <w:pStyle w:val="RepTableHeader"/>
              <w:jc w:val="center"/>
              <w:rPr>
                <w:highlight w:val="yellow"/>
                <w:lang w:val="en-GB"/>
              </w:rPr>
            </w:pPr>
            <w:r w:rsidRPr="00044F72">
              <w:rPr>
                <w:lang w:val="en-GB"/>
              </w:rPr>
              <w:t xml:space="preserve">Estimated exposure / AOEL (HQ) </w:t>
            </w:r>
          </w:p>
        </w:tc>
      </w:tr>
      <w:tr w:rsidR="008C3F5C" w:rsidRPr="00044F72" w:rsidTr="001D131F">
        <w:tc>
          <w:tcPr>
            <w:tcW w:w="1507" w:type="pct"/>
            <w:vMerge w:val="restart"/>
          </w:tcPr>
          <w:p w:rsidR="008C3F5C" w:rsidRPr="00044F72" w:rsidRDefault="008C3F5C" w:rsidP="001D131F">
            <w:pPr>
              <w:pStyle w:val="RepTable"/>
            </w:pPr>
            <w:r w:rsidRPr="00044F72">
              <w:t xml:space="preserve">Operators – </w:t>
            </w:r>
            <w:r w:rsidRPr="009F73A1">
              <w:rPr>
                <w:szCs w:val="20"/>
              </w:rPr>
              <w:t>Tractor mounted boom spray application outdoors to low crops</w:t>
            </w:r>
            <w:r>
              <w:rPr>
                <w:szCs w:val="20"/>
              </w:rPr>
              <w:t xml:space="preserve"> (work wear and gloves) </w:t>
            </w:r>
          </w:p>
        </w:tc>
        <w:tc>
          <w:tcPr>
            <w:tcW w:w="2079" w:type="pct"/>
          </w:tcPr>
          <w:p w:rsidR="008C3F5C" w:rsidRPr="008F5988" w:rsidDel="004A4059" w:rsidRDefault="008C3F5C" w:rsidP="001D131F">
            <w:pPr>
              <w:pStyle w:val="RepTable"/>
            </w:pPr>
            <w:r w:rsidRPr="008F5988">
              <w:rPr>
                <w:lang w:val="en-US"/>
              </w:rPr>
              <w:t>mesosulfuron-methyl</w:t>
            </w:r>
          </w:p>
        </w:tc>
        <w:tc>
          <w:tcPr>
            <w:tcW w:w="1414" w:type="pct"/>
            <w:noWrap/>
          </w:tcPr>
          <w:p w:rsidR="008C3F5C" w:rsidRPr="00B6513E" w:rsidRDefault="003D1BAB" w:rsidP="001D131F">
            <w:pPr>
              <w:pStyle w:val="RepTable"/>
            </w:pPr>
            <w:r>
              <w:t>0.025</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8F5988" w:rsidDel="004A4059" w:rsidRDefault="008C3F5C" w:rsidP="001D131F">
            <w:pPr>
              <w:pStyle w:val="RepTable"/>
            </w:pPr>
            <w:r w:rsidRPr="008F5988">
              <w:rPr>
                <w:lang w:val="en-US"/>
              </w:rPr>
              <w:t>iodosulfuron-methyl-sodium</w:t>
            </w:r>
          </w:p>
        </w:tc>
        <w:tc>
          <w:tcPr>
            <w:tcW w:w="1414" w:type="pct"/>
            <w:noWrap/>
          </w:tcPr>
          <w:p w:rsidR="008C3F5C" w:rsidRPr="00B6513E" w:rsidRDefault="003D1BAB" w:rsidP="001D131F">
            <w:pPr>
              <w:pStyle w:val="RepTable"/>
            </w:pPr>
            <w:r>
              <w:t>0.019</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8F5988" w:rsidRDefault="008C3F5C" w:rsidP="001D131F">
            <w:pPr>
              <w:pStyle w:val="RepTable"/>
            </w:pPr>
            <w:r w:rsidRPr="008F5988">
              <w:rPr>
                <w:lang w:val="en-US"/>
              </w:rPr>
              <w:t>mefenpyr-diethyl</w:t>
            </w:r>
          </w:p>
        </w:tc>
        <w:tc>
          <w:tcPr>
            <w:tcW w:w="1414" w:type="pct"/>
            <w:noWrap/>
          </w:tcPr>
          <w:p w:rsidR="008C3F5C" w:rsidRPr="00B6513E" w:rsidRDefault="003D1BAB" w:rsidP="001D131F">
            <w:pPr>
              <w:pStyle w:val="RepTable"/>
            </w:pPr>
            <w:r>
              <w:t>0.082</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044F72" w:rsidDel="004A4059" w:rsidRDefault="008C3F5C" w:rsidP="001D131F">
            <w:pPr>
              <w:pStyle w:val="RepTable"/>
              <w:rPr>
                <w:b/>
              </w:rPr>
            </w:pPr>
            <w:r>
              <w:rPr>
                <w:b/>
              </w:rPr>
              <w:t>Cumulative risk o</w:t>
            </w:r>
            <w:r w:rsidRPr="00044F72">
              <w:rPr>
                <w:b/>
              </w:rPr>
              <w:t>perators (HI)</w:t>
            </w:r>
          </w:p>
        </w:tc>
        <w:tc>
          <w:tcPr>
            <w:tcW w:w="1414" w:type="pct"/>
            <w:shd w:val="clear" w:color="auto" w:fill="EAF1DD" w:themeFill="accent3" w:themeFillTint="33"/>
            <w:noWrap/>
          </w:tcPr>
          <w:p w:rsidR="008C3F5C" w:rsidRPr="00B6513E" w:rsidRDefault="003D1BAB" w:rsidP="001D131F">
            <w:pPr>
              <w:pStyle w:val="RepTable"/>
              <w:rPr>
                <w:b/>
              </w:rPr>
            </w:pPr>
            <w:r>
              <w:rPr>
                <w:b/>
              </w:rPr>
              <w:t>0.126</w:t>
            </w:r>
          </w:p>
        </w:tc>
      </w:tr>
      <w:tr w:rsidR="008C3F5C" w:rsidRPr="00044F72" w:rsidTr="001D131F">
        <w:tc>
          <w:tcPr>
            <w:tcW w:w="1507" w:type="pct"/>
            <w:vMerge w:val="restart"/>
          </w:tcPr>
          <w:p w:rsidR="008C3F5C" w:rsidRPr="008F5988" w:rsidRDefault="008C3F5C" w:rsidP="001D131F">
            <w:pPr>
              <w:pStyle w:val="RepTable"/>
            </w:pPr>
            <w:r w:rsidRPr="00044F72">
              <w:t xml:space="preserve">Workers – </w:t>
            </w:r>
            <w:r w:rsidRPr="008F5988">
              <w:t>Inspection, irrigation</w:t>
            </w:r>
            <w:r w:rsidRPr="004001A4">
              <w:t xml:space="preserve"> (work wear - arms, body and legs covered)</w:t>
            </w:r>
          </w:p>
          <w:p w:rsidR="008C3F5C" w:rsidRPr="00044F72" w:rsidRDefault="008C3F5C" w:rsidP="001D131F">
            <w:pPr>
              <w:pStyle w:val="RepTable"/>
            </w:pPr>
          </w:p>
        </w:tc>
        <w:tc>
          <w:tcPr>
            <w:tcW w:w="2079" w:type="pct"/>
          </w:tcPr>
          <w:p w:rsidR="008C3F5C" w:rsidRPr="00044F72" w:rsidDel="004A4059" w:rsidRDefault="008C3F5C" w:rsidP="001D131F">
            <w:pPr>
              <w:pStyle w:val="RepTable"/>
              <w:rPr>
                <w:highlight w:val="yellow"/>
              </w:rPr>
            </w:pPr>
            <w:r w:rsidRPr="008F5988">
              <w:rPr>
                <w:lang w:val="en-US"/>
              </w:rPr>
              <w:t>mesosulfuron-methyl</w:t>
            </w:r>
          </w:p>
        </w:tc>
        <w:tc>
          <w:tcPr>
            <w:tcW w:w="1414" w:type="pct"/>
            <w:noWrap/>
          </w:tcPr>
          <w:p w:rsidR="008C3F5C" w:rsidRPr="00275899" w:rsidRDefault="003D1BAB" w:rsidP="001D131F">
            <w:pPr>
              <w:pStyle w:val="RepTable"/>
            </w:pPr>
            <w:r>
              <w:t>0.012</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044F72" w:rsidDel="004A4059" w:rsidRDefault="008C3F5C" w:rsidP="001D131F">
            <w:pPr>
              <w:pStyle w:val="RepTable"/>
              <w:rPr>
                <w:highlight w:val="yellow"/>
              </w:rPr>
            </w:pPr>
            <w:r w:rsidRPr="008F5988">
              <w:rPr>
                <w:lang w:val="en-US"/>
              </w:rPr>
              <w:t>iodosulfuron-methyl-sodium</w:t>
            </w:r>
          </w:p>
        </w:tc>
        <w:tc>
          <w:tcPr>
            <w:tcW w:w="1414" w:type="pct"/>
            <w:noWrap/>
          </w:tcPr>
          <w:p w:rsidR="008C3F5C" w:rsidRPr="00275899" w:rsidRDefault="003D1BAB" w:rsidP="001D131F">
            <w:pPr>
              <w:pStyle w:val="RepTable"/>
            </w:pPr>
            <w:r>
              <w:t>0.006</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044F72" w:rsidRDefault="008C3F5C" w:rsidP="001D131F">
            <w:pPr>
              <w:pStyle w:val="RepTable"/>
              <w:rPr>
                <w:highlight w:val="yellow"/>
              </w:rPr>
            </w:pPr>
            <w:r w:rsidRPr="008F5988">
              <w:rPr>
                <w:lang w:val="en-US"/>
              </w:rPr>
              <w:t>mefenpyr-diethyl</w:t>
            </w:r>
          </w:p>
        </w:tc>
        <w:tc>
          <w:tcPr>
            <w:tcW w:w="1414" w:type="pct"/>
            <w:noWrap/>
          </w:tcPr>
          <w:p w:rsidR="008C3F5C" w:rsidRPr="00275899" w:rsidRDefault="003D1BAB" w:rsidP="001D131F">
            <w:pPr>
              <w:pStyle w:val="RepTable"/>
            </w:pPr>
            <w:r>
              <w:t>0.047</w:t>
            </w:r>
          </w:p>
        </w:tc>
      </w:tr>
      <w:tr w:rsidR="008C3F5C" w:rsidRPr="00044F72" w:rsidTr="001D131F">
        <w:tc>
          <w:tcPr>
            <w:tcW w:w="1507" w:type="pct"/>
            <w:vMerge/>
          </w:tcPr>
          <w:p w:rsidR="008C3F5C" w:rsidRPr="00044F72" w:rsidRDefault="008C3F5C" w:rsidP="001D131F">
            <w:pPr>
              <w:rPr>
                <w:lang w:val="en-GB"/>
              </w:rPr>
            </w:pPr>
          </w:p>
        </w:tc>
        <w:tc>
          <w:tcPr>
            <w:tcW w:w="2079" w:type="pct"/>
          </w:tcPr>
          <w:p w:rsidR="008C3F5C" w:rsidRPr="00044F72" w:rsidRDefault="008C3F5C" w:rsidP="001D131F">
            <w:pPr>
              <w:pStyle w:val="RepTable"/>
              <w:rPr>
                <w:b/>
              </w:rPr>
            </w:pPr>
            <w:r>
              <w:rPr>
                <w:b/>
              </w:rPr>
              <w:t>Cumulative risk w</w:t>
            </w:r>
            <w:r w:rsidRPr="00044F72">
              <w:rPr>
                <w:b/>
              </w:rPr>
              <w:t>orkers (HI)</w:t>
            </w:r>
          </w:p>
        </w:tc>
        <w:tc>
          <w:tcPr>
            <w:tcW w:w="1414" w:type="pct"/>
            <w:shd w:val="clear" w:color="auto" w:fill="EAF1DD" w:themeFill="accent3" w:themeFillTint="33"/>
            <w:noWrap/>
          </w:tcPr>
          <w:p w:rsidR="008C3F5C" w:rsidRPr="00275899" w:rsidRDefault="003D1BAB" w:rsidP="001D131F">
            <w:pPr>
              <w:pStyle w:val="RepTable"/>
              <w:rPr>
                <w:b/>
              </w:rPr>
            </w:pPr>
            <w:r>
              <w:rPr>
                <w:b/>
              </w:rPr>
              <w:t>0.065</w:t>
            </w:r>
          </w:p>
        </w:tc>
      </w:tr>
      <w:tr w:rsidR="008C3F5C" w:rsidRPr="00044F72" w:rsidTr="001D131F">
        <w:tc>
          <w:tcPr>
            <w:tcW w:w="1507" w:type="pct"/>
            <w:vMerge w:val="restart"/>
          </w:tcPr>
          <w:p w:rsidR="008C3F5C" w:rsidRPr="00044F72" w:rsidRDefault="008C3F5C" w:rsidP="001D131F">
            <w:pPr>
              <w:pStyle w:val="RepTable"/>
            </w:pPr>
            <w:r>
              <w:t>Resident</w:t>
            </w:r>
            <w:r w:rsidRPr="00044F72">
              <w:t xml:space="preserve"> - </w:t>
            </w:r>
            <w:r>
              <w:t>c</w:t>
            </w:r>
            <w:r w:rsidRPr="00044F72">
              <w:t>hild</w:t>
            </w:r>
          </w:p>
          <w:p w:rsidR="008C3F5C" w:rsidRPr="00044F72" w:rsidRDefault="008C3F5C" w:rsidP="001D131F">
            <w:pPr>
              <w:pStyle w:val="RepTable"/>
            </w:pPr>
          </w:p>
        </w:tc>
        <w:tc>
          <w:tcPr>
            <w:tcW w:w="2079" w:type="pct"/>
          </w:tcPr>
          <w:p w:rsidR="008C3F5C" w:rsidRPr="008F5988" w:rsidDel="004A4059" w:rsidRDefault="008C3F5C" w:rsidP="001D131F">
            <w:pPr>
              <w:pStyle w:val="RepTable"/>
              <w:rPr>
                <w:b/>
                <w:bCs/>
              </w:rPr>
            </w:pPr>
            <w:r w:rsidRPr="008F5988">
              <w:rPr>
                <w:b/>
                <w:bCs/>
                <w:lang w:val="en-US"/>
              </w:rPr>
              <w:t>mesosulfuron-methyl</w:t>
            </w:r>
          </w:p>
        </w:tc>
        <w:tc>
          <w:tcPr>
            <w:tcW w:w="1414" w:type="pct"/>
            <w:noWrap/>
          </w:tcPr>
          <w:p w:rsidR="008C3F5C" w:rsidRPr="00044F72" w:rsidRDefault="008C3F5C" w:rsidP="001D131F">
            <w:pPr>
              <w:pStyle w:val="RepTable"/>
              <w:rPr>
                <w:highlight w:val="yellow"/>
              </w:rPr>
            </w:pP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Drift</w:t>
            </w:r>
          </w:p>
        </w:tc>
        <w:tc>
          <w:tcPr>
            <w:tcW w:w="1414" w:type="pct"/>
            <w:noWrap/>
          </w:tcPr>
          <w:p w:rsidR="008C3F5C" w:rsidRPr="00275899" w:rsidRDefault="00FE3B80" w:rsidP="001D131F">
            <w:pPr>
              <w:pStyle w:val="RepTable"/>
            </w:pPr>
            <w:r>
              <w:t>0.012</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Vapour</w:t>
            </w:r>
          </w:p>
        </w:tc>
        <w:tc>
          <w:tcPr>
            <w:tcW w:w="1414" w:type="pct"/>
            <w:noWrap/>
          </w:tcPr>
          <w:p w:rsidR="008C3F5C" w:rsidRPr="00275899" w:rsidRDefault="00FE3B80" w:rsidP="001D131F">
            <w:pPr>
              <w:pStyle w:val="RepTable"/>
            </w:pPr>
            <w:r>
              <w:t>0.000</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Deposits</w:t>
            </w:r>
          </w:p>
        </w:tc>
        <w:tc>
          <w:tcPr>
            <w:tcW w:w="1414" w:type="pct"/>
            <w:noWrap/>
          </w:tcPr>
          <w:p w:rsidR="008C3F5C" w:rsidRPr="00275899" w:rsidRDefault="00FE3B80" w:rsidP="001D131F">
            <w:pPr>
              <w:pStyle w:val="RepTable"/>
            </w:pPr>
            <w:r>
              <w:t>0.001</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Re-entry</w:t>
            </w:r>
          </w:p>
        </w:tc>
        <w:tc>
          <w:tcPr>
            <w:tcW w:w="1414" w:type="pct"/>
            <w:noWrap/>
          </w:tcPr>
          <w:p w:rsidR="008C3F5C" w:rsidRPr="00275899" w:rsidRDefault="00FE3B80" w:rsidP="001D131F">
            <w:pPr>
              <w:pStyle w:val="RepTable"/>
            </w:pPr>
            <w:r>
              <w:t>0.015</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275899">
              <w:rPr>
                <w:lang w:val="en-US"/>
              </w:rPr>
              <w:t>Sum (mean)</w:t>
            </w:r>
          </w:p>
        </w:tc>
        <w:tc>
          <w:tcPr>
            <w:tcW w:w="1414" w:type="pct"/>
            <w:noWrap/>
          </w:tcPr>
          <w:p w:rsidR="008C3F5C" w:rsidRPr="00275899" w:rsidRDefault="00FE3B80" w:rsidP="001D131F">
            <w:pPr>
              <w:pStyle w:val="RepTable"/>
            </w:pPr>
            <w:r>
              <w:t>0.019</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8F5988" w:rsidDel="004A4059" w:rsidRDefault="008C3F5C" w:rsidP="001D131F">
            <w:pPr>
              <w:pStyle w:val="RepTable"/>
              <w:rPr>
                <w:b/>
                <w:bCs/>
              </w:rPr>
            </w:pPr>
            <w:r w:rsidRPr="008F5988">
              <w:rPr>
                <w:b/>
                <w:bCs/>
                <w:lang w:val="en-US"/>
              </w:rPr>
              <w:t>iodosulfuron-methyl-sodium</w:t>
            </w:r>
          </w:p>
        </w:tc>
        <w:tc>
          <w:tcPr>
            <w:tcW w:w="1414" w:type="pct"/>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Drift</w:t>
            </w:r>
          </w:p>
        </w:tc>
        <w:tc>
          <w:tcPr>
            <w:tcW w:w="1414" w:type="pct"/>
            <w:noWrap/>
          </w:tcPr>
          <w:p w:rsidR="008C3F5C" w:rsidRPr="00275899" w:rsidRDefault="00B10A9B" w:rsidP="001D131F">
            <w:pPr>
              <w:pStyle w:val="RepTable"/>
            </w:pPr>
            <w:r>
              <w:t>0.006</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Vapour</w:t>
            </w:r>
          </w:p>
        </w:tc>
        <w:tc>
          <w:tcPr>
            <w:tcW w:w="1414" w:type="pct"/>
            <w:noWrap/>
          </w:tcPr>
          <w:p w:rsidR="008C3F5C" w:rsidRPr="00275899" w:rsidRDefault="00B10A9B" w:rsidP="001D131F">
            <w:pPr>
              <w:pStyle w:val="RepTable"/>
            </w:pPr>
            <w:r>
              <w:t>0.000</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Deposits</w:t>
            </w:r>
          </w:p>
        </w:tc>
        <w:tc>
          <w:tcPr>
            <w:tcW w:w="1414" w:type="pct"/>
            <w:noWrap/>
          </w:tcPr>
          <w:p w:rsidR="008C3F5C" w:rsidRPr="00275899" w:rsidRDefault="00B10A9B" w:rsidP="001D131F">
            <w:pPr>
              <w:pStyle w:val="RepTable"/>
            </w:pPr>
            <w:r>
              <w:t>0.001</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Re-entry</w:t>
            </w:r>
          </w:p>
        </w:tc>
        <w:tc>
          <w:tcPr>
            <w:tcW w:w="1414" w:type="pct"/>
            <w:noWrap/>
          </w:tcPr>
          <w:p w:rsidR="008C3F5C" w:rsidRPr="00275899" w:rsidRDefault="00B10A9B" w:rsidP="001D131F">
            <w:pPr>
              <w:pStyle w:val="RepTable"/>
            </w:pPr>
            <w:r>
              <w:t>0.008</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275899">
              <w:rPr>
                <w:lang w:val="en-US"/>
              </w:rPr>
              <w:t>Sum (mean)</w:t>
            </w:r>
          </w:p>
        </w:tc>
        <w:tc>
          <w:tcPr>
            <w:tcW w:w="1414" w:type="pct"/>
            <w:noWrap/>
          </w:tcPr>
          <w:p w:rsidR="008C3F5C" w:rsidRPr="00275899" w:rsidRDefault="00B10A9B" w:rsidP="001D131F">
            <w:pPr>
              <w:pStyle w:val="RepTable"/>
            </w:pPr>
            <w:r>
              <w:t>0.010</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8F5988" w:rsidRDefault="008C3F5C" w:rsidP="001D131F">
            <w:pPr>
              <w:pStyle w:val="RepTable"/>
              <w:rPr>
                <w:b/>
                <w:bCs/>
              </w:rPr>
            </w:pPr>
            <w:r w:rsidRPr="008F5988">
              <w:rPr>
                <w:b/>
                <w:bCs/>
                <w:lang w:val="en-US"/>
              </w:rPr>
              <w:t>mefenpyr-diethyl</w:t>
            </w:r>
          </w:p>
        </w:tc>
        <w:tc>
          <w:tcPr>
            <w:tcW w:w="1414" w:type="pct"/>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Drift</w:t>
            </w:r>
          </w:p>
        </w:tc>
        <w:tc>
          <w:tcPr>
            <w:tcW w:w="1414" w:type="pct"/>
            <w:noWrap/>
          </w:tcPr>
          <w:p w:rsidR="008C3F5C" w:rsidRPr="00275899" w:rsidRDefault="00B10A9B" w:rsidP="001D131F">
            <w:pPr>
              <w:pStyle w:val="RepTable"/>
            </w:pPr>
            <w:r>
              <w:t>0.045</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Vapour</w:t>
            </w:r>
          </w:p>
        </w:tc>
        <w:tc>
          <w:tcPr>
            <w:tcW w:w="1414" w:type="pct"/>
            <w:noWrap/>
          </w:tcPr>
          <w:p w:rsidR="008C3F5C" w:rsidRPr="00275899" w:rsidRDefault="00B10A9B" w:rsidP="001D131F">
            <w:pPr>
              <w:pStyle w:val="RepTable"/>
            </w:pPr>
            <w:r>
              <w:t>0.008</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Deposits</w:t>
            </w:r>
          </w:p>
        </w:tc>
        <w:tc>
          <w:tcPr>
            <w:tcW w:w="1414" w:type="pct"/>
            <w:noWrap/>
          </w:tcPr>
          <w:p w:rsidR="008C3F5C" w:rsidRPr="00275899" w:rsidRDefault="00B10A9B" w:rsidP="001D131F">
            <w:pPr>
              <w:pStyle w:val="RepTable"/>
            </w:pPr>
            <w:r>
              <w:t>0.005</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Re-entry</w:t>
            </w:r>
          </w:p>
        </w:tc>
        <w:tc>
          <w:tcPr>
            <w:tcW w:w="1414" w:type="pct"/>
            <w:noWrap/>
          </w:tcPr>
          <w:p w:rsidR="008C3F5C" w:rsidRPr="00275899" w:rsidRDefault="00B10A9B" w:rsidP="001D131F">
            <w:pPr>
              <w:pStyle w:val="RepTable"/>
            </w:pPr>
            <w:r>
              <w:t>0.057</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275899">
              <w:rPr>
                <w:lang w:val="en-US"/>
              </w:rPr>
              <w:t>Sum (mean)</w:t>
            </w:r>
          </w:p>
        </w:tc>
        <w:tc>
          <w:tcPr>
            <w:tcW w:w="1414" w:type="pct"/>
            <w:noWrap/>
          </w:tcPr>
          <w:p w:rsidR="008C3F5C" w:rsidRPr="00275899" w:rsidRDefault="00B10A9B" w:rsidP="001D131F">
            <w:pPr>
              <w:pStyle w:val="RepTable"/>
            </w:pPr>
            <w:r>
              <w:t>0.082</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Del="008251E3" w:rsidRDefault="008C3F5C" w:rsidP="001D131F">
            <w:pPr>
              <w:pStyle w:val="RepTable"/>
              <w:rPr>
                <w:b/>
              </w:rPr>
            </w:pPr>
            <w:r w:rsidRPr="00044F72">
              <w:rPr>
                <w:b/>
              </w:rPr>
              <w:t xml:space="preserve">Cumulative risk </w:t>
            </w:r>
            <w:r>
              <w:rPr>
                <w:b/>
              </w:rPr>
              <w:t>b</w:t>
            </w:r>
            <w:r w:rsidRPr="00044F72">
              <w:rPr>
                <w:b/>
              </w:rPr>
              <w:t xml:space="preserve">ystander – </w:t>
            </w:r>
            <w:r>
              <w:rPr>
                <w:b/>
              </w:rPr>
              <w:t>c</w:t>
            </w:r>
            <w:r w:rsidRPr="00044F72">
              <w:rPr>
                <w:b/>
              </w:rPr>
              <w:t>hild (HI)</w:t>
            </w:r>
          </w:p>
        </w:tc>
        <w:tc>
          <w:tcPr>
            <w:tcW w:w="1414" w:type="pct"/>
            <w:noWrap/>
          </w:tcPr>
          <w:p w:rsidR="008C3F5C" w:rsidRPr="00275899" w:rsidRDefault="008C3F5C" w:rsidP="001D131F">
            <w:pPr>
              <w:pStyle w:val="RepTable"/>
              <w:rPr>
                <w:b/>
              </w:rPr>
            </w:pP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Drift</w:t>
            </w:r>
          </w:p>
        </w:tc>
        <w:tc>
          <w:tcPr>
            <w:tcW w:w="1414" w:type="pct"/>
            <w:shd w:val="clear" w:color="auto" w:fill="EAF1DD" w:themeFill="accent3" w:themeFillTint="33"/>
            <w:noWrap/>
          </w:tcPr>
          <w:p w:rsidR="008C3F5C" w:rsidRPr="00275899" w:rsidRDefault="00B10A9B" w:rsidP="001D131F">
            <w:pPr>
              <w:pStyle w:val="RepTable"/>
              <w:rPr>
                <w:b/>
              </w:rPr>
            </w:pPr>
            <w:r>
              <w:rPr>
                <w:b/>
              </w:rPr>
              <w:t>0.063</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Vapour</w:t>
            </w:r>
          </w:p>
        </w:tc>
        <w:tc>
          <w:tcPr>
            <w:tcW w:w="1414" w:type="pct"/>
            <w:shd w:val="clear" w:color="auto" w:fill="EAF1DD" w:themeFill="accent3" w:themeFillTint="33"/>
            <w:noWrap/>
          </w:tcPr>
          <w:p w:rsidR="008C3F5C" w:rsidRPr="00275899" w:rsidRDefault="00B10A9B" w:rsidP="001D131F">
            <w:pPr>
              <w:pStyle w:val="RepTable"/>
              <w:rPr>
                <w:b/>
              </w:rPr>
            </w:pPr>
            <w:r>
              <w:rPr>
                <w:b/>
              </w:rPr>
              <w:t>0.008</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Deposits</w:t>
            </w:r>
          </w:p>
        </w:tc>
        <w:tc>
          <w:tcPr>
            <w:tcW w:w="1414" w:type="pct"/>
            <w:shd w:val="clear" w:color="auto" w:fill="EAF1DD" w:themeFill="accent3" w:themeFillTint="33"/>
            <w:noWrap/>
          </w:tcPr>
          <w:p w:rsidR="008C3F5C" w:rsidRPr="00275899" w:rsidRDefault="00B10A9B" w:rsidP="001D131F">
            <w:pPr>
              <w:pStyle w:val="RepTable"/>
              <w:rPr>
                <w:b/>
              </w:rPr>
            </w:pPr>
            <w:r>
              <w:rPr>
                <w:b/>
              </w:rPr>
              <w:t>0.007</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Re-entry</w:t>
            </w:r>
          </w:p>
        </w:tc>
        <w:tc>
          <w:tcPr>
            <w:tcW w:w="1414" w:type="pct"/>
            <w:shd w:val="clear" w:color="auto" w:fill="EAF1DD" w:themeFill="accent3" w:themeFillTint="33"/>
            <w:noWrap/>
          </w:tcPr>
          <w:p w:rsidR="008C3F5C" w:rsidRPr="00275899" w:rsidRDefault="00B10A9B" w:rsidP="001D131F">
            <w:pPr>
              <w:pStyle w:val="RepTable"/>
              <w:rPr>
                <w:b/>
              </w:rPr>
            </w:pPr>
            <w:r>
              <w:rPr>
                <w:b/>
              </w:rPr>
              <w:t>0.08</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275899">
              <w:rPr>
                <w:lang w:val="en-US"/>
              </w:rPr>
              <w:t>Sum (mean)</w:t>
            </w:r>
          </w:p>
        </w:tc>
        <w:tc>
          <w:tcPr>
            <w:tcW w:w="1414" w:type="pct"/>
            <w:shd w:val="clear" w:color="auto" w:fill="EAF1DD" w:themeFill="accent3" w:themeFillTint="33"/>
            <w:noWrap/>
          </w:tcPr>
          <w:p w:rsidR="008C3F5C" w:rsidRPr="00275899" w:rsidRDefault="00B10A9B" w:rsidP="001D131F">
            <w:pPr>
              <w:pStyle w:val="RepTable"/>
              <w:rPr>
                <w:b/>
              </w:rPr>
            </w:pPr>
            <w:r>
              <w:rPr>
                <w:b/>
              </w:rPr>
              <w:t>0.111</w:t>
            </w:r>
          </w:p>
        </w:tc>
      </w:tr>
      <w:tr w:rsidR="008C3F5C" w:rsidRPr="00044F72" w:rsidTr="001D131F">
        <w:tc>
          <w:tcPr>
            <w:tcW w:w="1507" w:type="pct"/>
            <w:vMerge w:val="restart"/>
          </w:tcPr>
          <w:p w:rsidR="008C3F5C" w:rsidRPr="00044F72" w:rsidRDefault="008C3F5C" w:rsidP="001D131F">
            <w:pPr>
              <w:pStyle w:val="RepTable"/>
            </w:pPr>
            <w:r>
              <w:t>Resident</w:t>
            </w:r>
            <w:r w:rsidRPr="00044F72">
              <w:t xml:space="preserve"> - </w:t>
            </w:r>
            <w:r>
              <w:t>a</w:t>
            </w:r>
            <w:r w:rsidRPr="00044F72">
              <w:t>dult</w:t>
            </w:r>
          </w:p>
        </w:tc>
        <w:tc>
          <w:tcPr>
            <w:tcW w:w="2079" w:type="pct"/>
            <w:tcBorders>
              <w:top w:val="single" w:sz="4" w:space="0" w:color="auto"/>
              <w:left w:val="single" w:sz="4" w:space="0" w:color="auto"/>
              <w:bottom w:val="single" w:sz="4" w:space="0" w:color="auto"/>
              <w:right w:val="single" w:sz="4" w:space="0" w:color="auto"/>
            </w:tcBorders>
          </w:tcPr>
          <w:p w:rsidR="008C3F5C" w:rsidRPr="008F5988" w:rsidDel="004A4059" w:rsidRDefault="008C3F5C" w:rsidP="001D131F">
            <w:pPr>
              <w:pStyle w:val="RepTable"/>
              <w:rPr>
                <w:b/>
                <w:bCs/>
              </w:rPr>
            </w:pPr>
            <w:r w:rsidRPr="008F5988">
              <w:rPr>
                <w:b/>
                <w:bCs/>
                <w:lang w:val="en-US"/>
              </w:rPr>
              <w:t>mesosulfuron-methyl</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Drift</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FE3B80" w:rsidP="001D131F">
            <w:pPr>
              <w:pStyle w:val="RepTable"/>
            </w:pPr>
            <w:r>
              <w:t>0.003</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Vapour</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FE3B80" w:rsidP="001D131F">
            <w:pPr>
              <w:pStyle w:val="RepTable"/>
            </w:pPr>
            <w:r>
              <w:t>0.000</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Deposits</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FE3B80" w:rsidP="001D131F">
            <w:pPr>
              <w:pStyle w:val="RepTable"/>
            </w:pPr>
            <w:r>
              <w:t>0.001</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Re-entry</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FE3B80" w:rsidP="001D131F">
            <w:pPr>
              <w:pStyle w:val="RepTable"/>
            </w:pPr>
            <w:r>
              <w:t xml:space="preserve">0.008 </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275899">
              <w:rPr>
                <w:lang w:val="en-US"/>
              </w:rPr>
              <w:t>Sum (mean)</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FE3B80" w:rsidP="001D131F">
            <w:pPr>
              <w:pStyle w:val="RepTable"/>
            </w:pPr>
            <w:r w:rsidRPr="00FE3B80">
              <w:t>0.</w:t>
            </w:r>
            <w:r>
              <w:t>008</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8F5988" w:rsidDel="004A4059" w:rsidRDefault="008C3F5C" w:rsidP="001D131F">
            <w:pPr>
              <w:pStyle w:val="RepTable"/>
              <w:rPr>
                <w:b/>
                <w:bCs/>
              </w:rPr>
            </w:pPr>
            <w:r w:rsidRPr="008F5988">
              <w:rPr>
                <w:b/>
                <w:bCs/>
                <w:lang w:val="en-US"/>
              </w:rPr>
              <w:t>iodosulfuron-methyl-sodium</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Drift</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0.001</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Vapour</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0.000</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Deposits</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0.000</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Re-entry</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0.004</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275899">
              <w:rPr>
                <w:lang w:val="en-US"/>
              </w:rPr>
              <w:t>Sum (mean)</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0.004</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8F5988" w:rsidRDefault="008C3F5C" w:rsidP="001D131F">
            <w:pPr>
              <w:pStyle w:val="RepTable"/>
              <w:rPr>
                <w:b/>
                <w:bCs/>
              </w:rPr>
            </w:pPr>
            <w:r w:rsidRPr="008F5988">
              <w:rPr>
                <w:b/>
                <w:bCs/>
                <w:lang w:val="en-US"/>
              </w:rPr>
              <w:t>mefenpyr-diethyl</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Drift</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0.011</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Vapour</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0.003</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Deposits</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0.002</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044F72">
              <w:t>Re-entry</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0.031</w:t>
            </w:r>
          </w:p>
        </w:tc>
      </w:tr>
      <w:tr w:rsidR="008C3F5C" w:rsidRPr="00044F72" w:rsidTr="001D131F">
        <w:tc>
          <w:tcPr>
            <w:tcW w:w="1507" w:type="pct"/>
            <w:vMerge/>
          </w:tcPr>
          <w:p w:rsidR="008C3F5C" w:rsidRPr="00044F72" w:rsidRDefault="008C3F5C" w:rsidP="001D131F">
            <w:pPr>
              <w:pStyle w:val="RepTable"/>
            </w:pPr>
          </w:p>
        </w:tc>
        <w:tc>
          <w:tcPr>
            <w:tcW w:w="2079" w:type="pct"/>
          </w:tcPr>
          <w:p w:rsidR="008C3F5C" w:rsidRPr="00044F72" w:rsidRDefault="008C3F5C" w:rsidP="001D131F">
            <w:pPr>
              <w:pStyle w:val="RepTable"/>
            </w:pPr>
            <w:r w:rsidRPr="00275899">
              <w:rPr>
                <w:lang w:val="en-US"/>
              </w:rPr>
              <w:t>Sum (mean)</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B10A9B" w:rsidP="001D131F">
            <w:pPr>
              <w:pStyle w:val="RepTable"/>
            </w:pPr>
            <w:r>
              <w:t>0.034</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Del="008251E3" w:rsidRDefault="008C3F5C" w:rsidP="001D131F">
            <w:pPr>
              <w:pStyle w:val="RepTable"/>
              <w:rPr>
                <w:b/>
              </w:rPr>
            </w:pPr>
            <w:r w:rsidRPr="00044F72">
              <w:rPr>
                <w:b/>
              </w:rPr>
              <w:t xml:space="preserve">Cumulative risk </w:t>
            </w:r>
            <w:r>
              <w:rPr>
                <w:b/>
              </w:rPr>
              <w:t>b</w:t>
            </w:r>
            <w:r w:rsidRPr="00044F72">
              <w:rPr>
                <w:b/>
              </w:rPr>
              <w:t xml:space="preserve">ystander – </w:t>
            </w:r>
            <w:r>
              <w:rPr>
                <w:b/>
              </w:rPr>
              <w:t>a</w:t>
            </w:r>
            <w:r w:rsidRPr="00044F72">
              <w:rPr>
                <w:b/>
              </w:rPr>
              <w:t>dult (HI)</w:t>
            </w:r>
          </w:p>
        </w:tc>
        <w:tc>
          <w:tcPr>
            <w:tcW w:w="1414" w:type="pct"/>
            <w:tcBorders>
              <w:top w:val="single" w:sz="4" w:space="0" w:color="auto"/>
              <w:left w:val="single" w:sz="4" w:space="0" w:color="auto"/>
              <w:bottom w:val="single" w:sz="4" w:space="0" w:color="auto"/>
              <w:right w:val="single" w:sz="4" w:space="0" w:color="auto"/>
            </w:tcBorders>
            <w:noWrap/>
          </w:tcPr>
          <w:p w:rsidR="008C3F5C" w:rsidRPr="00275899" w:rsidRDefault="008C3F5C" w:rsidP="001D131F">
            <w:pPr>
              <w:pStyle w:val="RepTable"/>
            </w:pP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Drift</w:t>
            </w:r>
          </w:p>
        </w:tc>
        <w:tc>
          <w:tcPr>
            <w:tcW w:w="1414" w:type="pct"/>
            <w:tcBorders>
              <w:top w:val="single" w:sz="4" w:space="0" w:color="auto"/>
              <w:left w:val="single" w:sz="4" w:space="0" w:color="auto"/>
              <w:bottom w:val="single" w:sz="4" w:space="0" w:color="auto"/>
              <w:right w:val="single" w:sz="4" w:space="0" w:color="auto"/>
            </w:tcBorders>
            <w:shd w:val="clear" w:color="auto" w:fill="EAF1DD" w:themeFill="accent3" w:themeFillTint="33"/>
            <w:noWrap/>
          </w:tcPr>
          <w:p w:rsidR="008C3F5C" w:rsidRPr="00275899" w:rsidRDefault="00D54A6F" w:rsidP="001D131F">
            <w:pPr>
              <w:pStyle w:val="RepTable"/>
              <w:rPr>
                <w:b/>
              </w:rPr>
            </w:pPr>
            <w:r>
              <w:rPr>
                <w:b/>
              </w:rPr>
              <w:t>0.015</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Vapour</w:t>
            </w:r>
          </w:p>
        </w:tc>
        <w:tc>
          <w:tcPr>
            <w:tcW w:w="1414" w:type="pct"/>
            <w:tcBorders>
              <w:top w:val="single" w:sz="4" w:space="0" w:color="auto"/>
              <w:left w:val="single" w:sz="4" w:space="0" w:color="auto"/>
              <w:bottom w:val="single" w:sz="4" w:space="0" w:color="auto"/>
              <w:right w:val="single" w:sz="4" w:space="0" w:color="auto"/>
            </w:tcBorders>
            <w:shd w:val="clear" w:color="auto" w:fill="EAF1DD" w:themeFill="accent3" w:themeFillTint="33"/>
            <w:noWrap/>
          </w:tcPr>
          <w:p w:rsidR="008C3F5C" w:rsidRPr="00275899" w:rsidRDefault="00D54A6F" w:rsidP="001D131F">
            <w:pPr>
              <w:pStyle w:val="RepTable"/>
              <w:rPr>
                <w:b/>
              </w:rPr>
            </w:pPr>
            <w:r>
              <w:rPr>
                <w:b/>
              </w:rPr>
              <w:t>0.003</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Deposits</w:t>
            </w:r>
          </w:p>
        </w:tc>
        <w:tc>
          <w:tcPr>
            <w:tcW w:w="1414" w:type="pct"/>
            <w:tcBorders>
              <w:top w:val="single" w:sz="4" w:space="0" w:color="auto"/>
              <w:left w:val="single" w:sz="4" w:space="0" w:color="auto"/>
              <w:bottom w:val="single" w:sz="4" w:space="0" w:color="auto"/>
              <w:right w:val="single" w:sz="4" w:space="0" w:color="auto"/>
            </w:tcBorders>
            <w:shd w:val="clear" w:color="auto" w:fill="EAF1DD" w:themeFill="accent3" w:themeFillTint="33"/>
            <w:noWrap/>
          </w:tcPr>
          <w:p w:rsidR="008C3F5C" w:rsidRPr="00275899" w:rsidRDefault="00D54A6F" w:rsidP="001D131F">
            <w:pPr>
              <w:pStyle w:val="RepTable"/>
              <w:rPr>
                <w:b/>
              </w:rPr>
            </w:pPr>
            <w:r>
              <w:rPr>
                <w:b/>
              </w:rPr>
              <w:t>0.003</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044F72">
              <w:t>Re-entry</w:t>
            </w:r>
          </w:p>
        </w:tc>
        <w:tc>
          <w:tcPr>
            <w:tcW w:w="1414" w:type="pct"/>
            <w:tcBorders>
              <w:top w:val="single" w:sz="4" w:space="0" w:color="auto"/>
              <w:left w:val="single" w:sz="4" w:space="0" w:color="auto"/>
              <w:bottom w:val="single" w:sz="4" w:space="0" w:color="auto"/>
              <w:right w:val="single" w:sz="4" w:space="0" w:color="auto"/>
            </w:tcBorders>
            <w:shd w:val="clear" w:color="auto" w:fill="EAF1DD" w:themeFill="accent3" w:themeFillTint="33"/>
            <w:noWrap/>
          </w:tcPr>
          <w:p w:rsidR="008C3F5C" w:rsidRPr="00275899" w:rsidRDefault="00D54A6F" w:rsidP="001D131F">
            <w:pPr>
              <w:pStyle w:val="RepTable"/>
              <w:rPr>
                <w:b/>
              </w:rPr>
            </w:pPr>
            <w:r>
              <w:rPr>
                <w:b/>
              </w:rPr>
              <w:t>0.04</w:t>
            </w:r>
            <w:r w:rsidR="007C1AA1">
              <w:rPr>
                <w:b/>
              </w:rPr>
              <w:t>3</w:t>
            </w:r>
          </w:p>
        </w:tc>
      </w:tr>
      <w:tr w:rsidR="008C3F5C" w:rsidRPr="00044F72" w:rsidTr="001D131F">
        <w:tc>
          <w:tcPr>
            <w:tcW w:w="1507" w:type="pct"/>
            <w:vMerge/>
          </w:tcPr>
          <w:p w:rsidR="008C3F5C" w:rsidRPr="00044F72" w:rsidRDefault="008C3F5C" w:rsidP="001D131F">
            <w:pPr>
              <w:pStyle w:val="RepTable"/>
            </w:pPr>
          </w:p>
        </w:tc>
        <w:tc>
          <w:tcPr>
            <w:tcW w:w="2079" w:type="pct"/>
            <w:tcBorders>
              <w:top w:val="single" w:sz="4" w:space="0" w:color="auto"/>
              <w:left w:val="single" w:sz="4" w:space="0" w:color="auto"/>
              <w:bottom w:val="single" w:sz="4" w:space="0" w:color="auto"/>
              <w:right w:val="single" w:sz="4" w:space="0" w:color="auto"/>
            </w:tcBorders>
          </w:tcPr>
          <w:p w:rsidR="008C3F5C" w:rsidRPr="00044F72" w:rsidRDefault="008C3F5C" w:rsidP="001D131F">
            <w:pPr>
              <w:pStyle w:val="RepTable"/>
            </w:pPr>
            <w:r w:rsidRPr="00275899">
              <w:rPr>
                <w:lang w:val="en-US"/>
              </w:rPr>
              <w:t>Sum (mean)</w:t>
            </w:r>
          </w:p>
        </w:tc>
        <w:tc>
          <w:tcPr>
            <w:tcW w:w="1414" w:type="pct"/>
            <w:tcBorders>
              <w:top w:val="single" w:sz="4" w:space="0" w:color="auto"/>
              <w:left w:val="single" w:sz="4" w:space="0" w:color="auto"/>
              <w:bottom w:val="single" w:sz="4" w:space="0" w:color="auto"/>
              <w:right w:val="single" w:sz="4" w:space="0" w:color="auto"/>
            </w:tcBorders>
            <w:shd w:val="clear" w:color="auto" w:fill="EAF1DD" w:themeFill="accent3" w:themeFillTint="33"/>
            <w:noWrap/>
          </w:tcPr>
          <w:p w:rsidR="008C3F5C" w:rsidRPr="00275899" w:rsidRDefault="00D54A6F" w:rsidP="001D131F">
            <w:pPr>
              <w:pStyle w:val="RepTable"/>
              <w:rPr>
                <w:b/>
              </w:rPr>
            </w:pPr>
            <w:r>
              <w:rPr>
                <w:b/>
              </w:rPr>
              <w:t>0.046</w:t>
            </w:r>
          </w:p>
        </w:tc>
      </w:tr>
    </w:tbl>
    <w:p w:rsidR="008C3F5C" w:rsidRPr="00B32849" w:rsidRDefault="008C3F5C" w:rsidP="008C3F5C">
      <w:pPr>
        <w:pStyle w:val="RepStandard"/>
      </w:pPr>
    </w:p>
    <w:p w:rsidR="008C3F5C" w:rsidRPr="00B80161" w:rsidRDefault="008C3F5C" w:rsidP="00990869">
      <w:pPr>
        <w:shd w:val="clear" w:color="auto" w:fill="00FF00"/>
        <w:rPr>
          <w:b/>
          <w:sz w:val="24"/>
          <w:szCs w:val="24"/>
        </w:rPr>
      </w:pPr>
      <w:r w:rsidRPr="00990869">
        <w:rPr>
          <w:b/>
          <w:sz w:val="24"/>
          <w:szCs w:val="24"/>
        </w:rPr>
        <w:t>The Hazard Index is &lt; 1. Thus, combined exposure to all active substances in 054-01-05 is not expected to present a risk for operators, workers, residents and bystanders. No further refinement of the assessment is required.</w:t>
      </w:r>
    </w:p>
    <w:p w:rsidR="008C3F5C" w:rsidRPr="005E4E02" w:rsidRDefault="008C3F5C" w:rsidP="005E4E02">
      <w:pPr>
        <w:sectPr w:rsidR="008C3F5C" w:rsidRPr="005E4E02" w:rsidSect="00113343">
          <w:headerReference w:type="even" r:id="rId12"/>
          <w:headerReference w:type="first" r:id="rId13"/>
          <w:pgSz w:w="11909" w:h="16834" w:code="9"/>
          <w:pgMar w:top="1417" w:right="1134" w:bottom="1134" w:left="1417" w:header="737" w:footer="170" w:gutter="0"/>
          <w:pgNumType w:chapSep="period"/>
          <w:cols w:space="720"/>
          <w:noEndnote/>
          <w:docGrid w:linePitch="360"/>
        </w:sectPr>
      </w:pPr>
    </w:p>
    <w:p w:rsidR="00217B1C" w:rsidRPr="00B32849" w:rsidRDefault="00217B1C" w:rsidP="008725E2">
      <w:pPr>
        <w:pStyle w:val="RepAppendix1"/>
      </w:pPr>
      <w:bookmarkStart w:id="538" w:name="_Toc397516895"/>
      <w:bookmarkStart w:id="539" w:name="_Toc398627875"/>
      <w:bookmarkStart w:id="540" w:name="_Toc399335730"/>
      <w:bookmarkStart w:id="541" w:name="_Toc399764871"/>
      <w:bookmarkStart w:id="542" w:name="_Toc412562662"/>
      <w:bookmarkStart w:id="543" w:name="_Toc412562739"/>
      <w:bookmarkStart w:id="544" w:name="_Toc413662731"/>
      <w:bookmarkStart w:id="545" w:name="_Toc413673589"/>
      <w:bookmarkStart w:id="546" w:name="_Toc413673687"/>
      <w:bookmarkStart w:id="547" w:name="_Toc413673758"/>
      <w:bookmarkStart w:id="548" w:name="_Toc413928657"/>
      <w:bookmarkStart w:id="549" w:name="_Toc413936271"/>
      <w:bookmarkStart w:id="550" w:name="_Toc413937982"/>
      <w:bookmarkStart w:id="551" w:name="_Toc414026709"/>
      <w:bookmarkStart w:id="552" w:name="_Toc414974088"/>
      <w:bookmarkStart w:id="553" w:name="_Toc450900962"/>
      <w:bookmarkStart w:id="554" w:name="_Toc450920628"/>
      <w:bookmarkStart w:id="555" w:name="_Toc450923749"/>
      <w:bookmarkStart w:id="556" w:name="_Toc454460982"/>
      <w:bookmarkStart w:id="557" w:name="_Toc454462818"/>
      <w:bookmarkStart w:id="558" w:name="_Toc179811309"/>
      <w:r w:rsidRPr="00B32849">
        <w:lastRenderedPageBreak/>
        <w:t>List</w:t>
      </w:r>
      <w:r w:rsidR="00F9783D" w:rsidRPr="00B32849">
        <w:t>s</w:t>
      </w:r>
      <w:r w:rsidRPr="00B32849">
        <w:t xml:space="preserve"> of data considered in support of the evaluation</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F9783D" w:rsidRPr="005078C3" w:rsidRDefault="00F9783D" w:rsidP="00F87689">
      <w:pPr>
        <w:pStyle w:val="dRRinstructions"/>
        <w:rPr>
          <w:lang w:val="en-GB"/>
        </w:rPr>
      </w:pPr>
    </w:p>
    <w:p w:rsidR="00F9783D" w:rsidRPr="00B32849" w:rsidRDefault="00F9783D" w:rsidP="00F9783D">
      <w:pPr>
        <w:pStyle w:val="RepEditorNotesMS"/>
      </w:pPr>
      <w:r w:rsidRPr="00B32849">
        <w:rPr>
          <w:rStyle w:val="RepEditorNote"/>
          <w:color w:val="auto"/>
        </w:rPr>
        <w:t>Tables considered not relevant can be deleted as appropriate.</w:t>
      </w:r>
    </w:p>
    <w:p w:rsidR="00F9783D" w:rsidRPr="00B32849" w:rsidRDefault="00F9783D" w:rsidP="00F9783D">
      <w:pPr>
        <w:pStyle w:val="RepEditorNotesMS"/>
      </w:pPr>
      <w:r w:rsidRPr="00B32849">
        <w:t>MS to blacken authors of vertebrate studies in the version made available to third parties/public.</w:t>
      </w:r>
    </w:p>
    <w:p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22"/>
        <w:gridCol w:w="1868"/>
        <w:gridCol w:w="790"/>
        <w:gridCol w:w="8661"/>
        <w:gridCol w:w="1057"/>
        <w:gridCol w:w="1286"/>
      </w:tblGrid>
      <w:tr w:rsidR="00F9783D" w:rsidRPr="00B32849" w:rsidTr="00890D82">
        <w:trPr>
          <w:tblHeader/>
        </w:trPr>
        <w:tc>
          <w:tcPr>
            <w:tcW w:w="348" w:type="pct"/>
            <w:vAlign w:val="center"/>
          </w:tcPr>
          <w:p w:rsidR="00F9783D" w:rsidRPr="00B32849" w:rsidRDefault="00F9783D" w:rsidP="00E0107B">
            <w:pPr>
              <w:pStyle w:val="RepTableHeader"/>
              <w:jc w:val="center"/>
              <w:rPr>
                <w:lang w:val="en-GB"/>
              </w:rPr>
            </w:pPr>
            <w:bookmarkStart w:id="559" w:name="_Hlk150248706"/>
            <w:r w:rsidRPr="00B32849">
              <w:rPr>
                <w:lang w:val="en-GB"/>
              </w:rPr>
              <w:t>Data point</w:t>
            </w:r>
          </w:p>
        </w:tc>
        <w:tc>
          <w:tcPr>
            <w:tcW w:w="636" w:type="pct"/>
            <w:vAlign w:val="center"/>
          </w:tcPr>
          <w:p w:rsidR="00F9783D" w:rsidRPr="00B32849" w:rsidRDefault="00F9783D" w:rsidP="00E0107B">
            <w:pPr>
              <w:pStyle w:val="RepTableHeader"/>
              <w:jc w:val="center"/>
              <w:rPr>
                <w:lang w:val="en-GB"/>
              </w:rPr>
            </w:pPr>
            <w:r w:rsidRPr="00B32849">
              <w:rPr>
                <w:lang w:val="en-GB"/>
              </w:rPr>
              <w:t>Author(s)</w:t>
            </w:r>
          </w:p>
        </w:tc>
        <w:tc>
          <w:tcPr>
            <w:tcW w:w="269" w:type="pct"/>
            <w:vAlign w:val="center"/>
          </w:tcPr>
          <w:p w:rsidR="00F9783D" w:rsidRPr="00B32849" w:rsidRDefault="00F9783D" w:rsidP="00E0107B">
            <w:pPr>
              <w:pStyle w:val="RepTableHeader"/>
              <w:jc w:val="center"/>
              <w:rPr>
                <w:lang w:val="en-GB"/>
              </w:rPr>
            </w:pPr>
            <w:r w:rsidRPr="00B32849">
              <w:rPr>
                <w:lang w:val="en-GB"/>
              </w:rPr>
              <w:t>Year</w:t>
            </w:r>
          </w:p>
        </w:tc>
        <w:tc>
          <w:tcPr>
            <w:tcW w:w="2949"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60"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38" w:type="pct"/>
            <w:vAlign w:val="center"/>
          </w:tcPr>
          <w:p w:rsidR="00F9783D" w:rsidRPr="00B32849" w:rsidRDefault="00F9783D" w:rsidP="00E0107B">
            <w:pPr>
              <w:pStyle w:val="RepTableHeader"/>
              <w:jc w:val="center"/>
              <w:rPr>
                <w:lang w:val="en-GB"/>
              </w:rPr>
            </w:pPr>
            <w:r w:rsidRPr="00B32849">
              <w:rPr>
                <w:lang w:val="en-GB"/>
              </w:rPr>
              <w:t>Owner</w:t>
            </w:r>
          </w:p>
        </w:tc>
      </w:tr>
      <w:tr w:rsidR="00ED69BE" w:rsidRPr="00B27D39" w:rsidTr="00890D82">
        <w:tc>
          <w:tcPr>
            <w:tcW w:w="348" w:type="pct"/>
          </w:tcPr>
          <w:p w:rsidR="00ED69BE" w:rsidRPr="00B27D39" w:rsidRDefault="00ED69BE" w:rsidP="00ED69BE">
            <w:pPr>
              <w:pStyle w:val="RepTable"/>
            </w:pPr>
          </w:p>
        </w:tc>
        <w:tc>
          <w:tcPr>
            <w:tcW w:w="636" w:type="pct"/>
          </w:tcPr>
          <w:p w:rsidR="00ED69BE" w:rsidRPr="00B27D39" w:rsidRDefault="00ED69BE" w:rsidP="00ED69BE">
            <w:pPr>
              <w:pStyle w:val="RepTable"/>
            </w:pPr>
          </w:p>
        </w:tc>
        <w:tc>
          <w:tcPr>
            <w:tcW w:w="269" w:type="pct"/>
          </w:tcPr>
          <w:p w:rsidR="00ED69BE" w:rsidRPr="00B27D39" w:rsidRDefault="00ED69BE" w:rsidP="00ED69BE">
            <w:pPr>
              <w:pStyle w:val="RepTable"/>
              <w:jc w:val="center"/>
            </w:pPr>
          </w:p>
        </w:tc>
        <w:tc>
          <w:tcPr>
            <w:tcW w:w="2949" w:type="pct"/>
          </w:tcPr>
          <w:p w:rsidR="00ED69BE" w:rsidRPr="00B27D39" w:rsidRDefault="00ED69BE" w:rsidP="00ED69BE">
            <w:pPr>
              <w:pStyle w:val="RepTable"/>
            </w:pPr>
          </w:p>
        </w:tc>
        <w:tc>
          <w:tcPr>
            <w:tcW w:w="360" w:type="pct"/>
          </w:tcPr>
          <w:p w:rsidR="00ED69BE" w:rsidRPr="00B27D39" w:rsidRDefault="00ED69BE" w:rsidP="00ED69BE">
            <w:pPr>
              <w:pStyle w:val="RepTable"/>
              <w:jc w:val="center"/>
            </w:pPr>
          </w:p>
        </w:tc>
        <w:tc>
          <w:tcPr>
            <w:tcW w:w="438" w:type="pct"/>
          </w:tcPr>
          <w:p w:rsidR="00ED69BE" w:rsidRPr="00B27D39" w:rsidRDefault="00ED69BE" w:rsidP="00ED69BE">
            <w:pPr>
              <w:pStyle w:val="RepTable"/>
              <w:jc w:val="center"/>
            </w:pPr>
          </w:p>
        </w:tc>
      </w:tr>
      <w:bookmarkEnd w:id="559"/>
    </w:tbl>
    <w:p w:rsidR="00F9783D" w:rsidRPr="00B27D39" w:rsidRDefault="00F9783D" w:rsidP="00F87689">
      <w:pPr>
        <w:pStyle w:val="OECD-BASIS-TEXT"/>
      </w:pPr>
    </w:p>
    <w:p w:rsidR="00F9783D" w:rsidRDefault="00F9783D" w:rsidP="00F9783D">
      <w:pPr>
        <w:pStyle w:val="RepNewPart"/>
      </w:pPr>
      <w:r w:rsidRPr="00B27D3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22"/>
        <w:gridCol w:w="1868"/>
        <w:gridCol w:w="790"/>
        <w:gridCol w:w="8661"/>
        <w:gridCol w:w="1057"/>
        <w:gridCol w:w="1286"/>
      </w:tblGrid>
      <w:tr w:rsidR="000E2DD9" w:rsidRPr="00B32849" w:rsidTr="001D131F">
        <w:trPr>
          <w:tblHeader/>
        </w:trPr>
        <w:tc>
          <w:tcPr>
            <w:tcW w:w="348" w:type="pct"/>
            <w:vAlign w:val="center"/>
          </w:tcPr>
          <w:p w:rsidR="000E2DD9" w:rsidRPr="00B32849" w:rsidRDefault="000E2DD9" w:rsidP="001D131F">
            <w:pPr>
              <w:pStyle w:val="RepTableHeader"/>
              <w:jc w:val="center"/>
              <w:rPr>
                <w:lang w:val="en-GB"/>
              </w:rPr>
            </w:pPr>
            <w:r w:rsidRPr="00B32849">
              <w:rPr>
                <w:lang w:val="en-GB"/>
              </w:rPr>
              <w:t>Data point</w:t>
            </w:r>
          </w:p>
        </w:tc>
        <w:tc>
          <w:tcPr>
            <w:tcW w:w="636" w:type="pct"/>
            <w:vAlign w:val="center"/>
          </w:tcPr>
          <w:p w:rsidR="000E2DD9" w:rsidRPr="00B32849" w:rsidRDefault="000E2DD9" w:rsidP="001D131F">
            <w:pPr>
              <w:pStyle w:val="RepTableHeader"/>
              <w:jc w:val="center"/>
              <w:rPr>
                <w:lang w:val="en-GB"/>
              </w:rPr>
            </w:pPr>
            <w:r w:rsidRPr="00B32849">
              <w:rPr>
                <w:lang w:val="en-GB"/>
              </w:rPr>
              <w:t>Author(s)</w:t>
            </w:r>
          </w:p>
        </w:tc>
        <w:tc>
          <w:tcPr>
            <w:tcW w:w="269" w:type="pct"/>
            <w:vAlign w:val="center"/>
          </w:tcPr>
          <w:p w:rsidR="000E2DD9" w:rsidRPr="00B32849" w:rsidRDefault="000E2DD9" w:rsidP="001D131F">
            <w:pPr>
              <w:pStyle w:val="RepTableHeader"/>
              <w:jc w:val="center"/>
              <w:rPr>
                <w:lang w:val="en-GB"/>
              </w:rPr>
            </w:pPr>
            <w:r w:rsidRPr="00B32849">
              <w:rPr>
                <w:lang w:val="en-GB"/>
              </w:rPr>
              <w:t>Year</w:t>
            </w:r>
          </w:p>
        </w:tc>
        <w:tc>
          <w:tcPr>
            <w:tcW w:w="2949" w:type="pct"/>
            <w:vAlign w:val="center"/>
          </w:tcPr>
          <w:p w:rsidR="000E2DD9" w:rsidRPr="00B32849" w:rsidRDefault="000E2DD9" w:rsidP="001D131F">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60" w:type="pct"/>
            <w:vAlign w:val="center"/>
          </w:tcPr>
          <w:p w:rsidR="000E2DD9" w:rsidRPr="00B32849" w:rsidRDefault="000E2DD9" w:rsidP="001D131F">
            <w:pPr>
              <w:pStyle w:val="RepTableHeader"/>
              <w:jc w:val="center"/>
              <w:rPr>
                <w:lang w:val="en-GB"/>
              </w:rPr>
            </w:pPr>
            <w:r w:rsidRPr="00B32849">
              <w:rPr>
                <w:lang w:val="en-GB"/>
              </w:rPr>
              <w:t>Vertebrate study</w:t>
            </w:r>
          </w:p>
          <w:p w:rsidR="000E2DD9" w:rsidRPr="00B32849" w:rsidRDefault="000E2DD9" w:rsidP="001D131F">
            <w:pPr>
              <w:pStyle w:val="RepTableHeader"/>
              <w:jc w:val="center"/>
              <w:rPr>
                <w:lang w:val="en-GB"/>
              </w:rPr>
            </w:pPr>
            <w:r w:rsidRPr="00B32849">
              <w:rPr>
                <w:lang w:val="en-GB"/>
              </w:rPr>
              <w:t>Y/N</w:t>
            </w:r>
          </w:p>
        </w:tc>
        <w:tc>
          <w:tcPr>
            <w:tcW w:w="438" w:type="pct"/>
            <w:vAlign w:val="center"/>
          </w:tcPr>
          <w:p w:rsidR="000E2DD9" w:rsidRPr="00B32849" w:rsidRDefault="000E2DD9" w:rsidP="001D131F">
            <w:pPr>
              <w:pStyle w:val="RepTableHeader"/>
              <w:jc w:val="center"/>
              <w:rPr>
                <w:lang w:val="en-GB"/>
              </w:rPr>
            </w:pPr>
            <w:r w:rsidRPr="00B32849">
              <w:rPr>
                <w:lang w:val="en-GB"/>
              </w:rPr>
              <w:t>Owner</w:t>
            </w:r>
          </w:p>
        </w:tc>
      </w:tr>
      <w:tr w:rsidR="000E2DD9" w:rsidRPr="00B27D39" w:rsidTr="001D131F">
        <w:tc>
          <w:tcPr>
            <w:tcW w:w="348" w:type="pct"/>
          </w:tcPr>
          <w:p w:rsidR="000E2DD9" w:rsidRPr="00B27D39" w:rsidRDefault="000E2DD9" w:rsidP="001D131F">
            <w:pPr>
              <w:pStyle w:val="RepTable"/>
            </w:pPr>
            <w:r w:rsidRPr="00ED69BE">
              <w:rPr>
                <w:lang w:val="en-IE"/>
              </w:rPr>
              <w:t>KCP 7.1.1 / 01</w:t>
            </w:r>
          </w:p>
        </w:tc>
        <w:tc>
          <w:tcPr>
            <w:tcW w:w="636" w:type="pct"/>
          </w:tcPr>
          <w:p w:rsidR="000E2DD9" w:rsidRPr="00FF3C47" w:rsidRDefault="000F03B2" w:rsidP="001D131F">
            <w:pPr>
              <w:pStyle w:val="RepTable"/>
              <w:rPr>
                <w:highlight w:val="black"/>
              </w:rPr>
            </w:pPr>
            <w:r w:rsidRPr="00FF3C47">
              <w:rPr>
                <w:noProof w:val="0"/>
                <w:color w:val="000000"/>
                <w:kern w:val="2"/>
                <w:highlight w:val="black"/>
                <w:lang w:val="en-IE" w:eastAsia="en-IE"/>
              </w:rPr>
              <w:t>Anon</w:t>
            </w:r>
          </w:p>
        </w:tc>
        <w:tc>
          <w:tcPr>
            <w:tcW w:w="269" w:type="pct"/>
          </w:tcPr>
          <w:p w:rsidR="000E2DD9" w:rsidRPr="00FF3C47" w:rsidRDefault="000E2DD9" w:rsidP="001D131F">
            <w:pPr>
              <w:pStyle w:val="RepTable"/>
              <w:jc w:val="center"/>
              <w:rPr>
                <w:highlight w:val="black"/>
              </w:rPr>
            </w:pPr>
            <w:r w:rsidRPr="00FF3C47">
              <w:rPr>
                <w:highlight w:val="black"/>
              </w:rPr>
              <w:t>2003</w:t>
            </w:r>
          </w:p>
        </w:tc>
        <w:tc>
          <w:tcPr>
            <w:tcW w:w="2949" w:type="pct"/>
          </w:tcPr>
          <w:p w:rsidR="000E2DD9" w:rsidRDefault="000E2DD9" w:rsidP="001D131F">
            <w:pPr>
              <w:pStyle w:val="RepTable"/>
            </w:pPr>
            <w:r>
              <w:t xml:space="preserve">Mesosulfuron-methyl &amp; iodosulfuron-methyl-sodium &amp; mefenpyr-diethyl OD 10 + 2 + 30 (AE </w:t>
            </w:r>
          </w:p>
          <w:p w:rsidR="000E2DD9" w:rsidRDefault="000E2DD9" w:rsidP="001D131F">
            <w:pPr>
              <w:pStyle w:val="RepTable"/>
            </w:pPr>
            <w:r>
              <w:t xml:space="preserve">F115008 06 OD04 A1 - Atlantis liquid) Acute toxicity in the rat after oral administration </w:t>
            </w:r>
          </w:p>
          <w:p w:rsidR="000E2DD9" w:rsidRDefault="000E2DD9" w:rsidP="001D131F">
            <w:pPr>
              <w:pStyle w:val="RepTable"/>
            </w:pPr>
            <w:r>
              <w:t>Report No.: C038675, Edition Number: M-225480-01-1 xxxxxxxxx</w:t>
            </w:r>
          </w:p>
          <w:p w:rsidR="00F60BF3" w:rsidRDefault="00F60BF3" w:rsidP="001D131F">
            <w:pPr>
              <w:pStyle w:val="RepTable"/>
            </w:pPr>
            <w:r w:rsidRPr="00F60BF3">
              <w:t>GLP/GEP: Yes</w:t>
            </w:r>
          </w:p>
          <w:p w:rsidR="000E2DD9" w:rsidRPr="00B27D39" w:rsidRDefault="00F60BF3" w:rsidP="001D131F">
            <w:pPr>
              <w:pStyle w:val="RepTable"/>
            </w:pPr>
            <w:r>
              <w:t>U</w:t>
            </w:r>
            <w:r w:rsidRPr="00F60BF3">
              <w:t>npublished</w:t>
            </w:r>
          </w:p>
        </w:tc>
        <w:tc>
          <w:tcPr>
            <w:tcW w:w="360" w:type="pct"/>
          </w:tcPr>
          <w:p w:rsidR="000E2DD9" w:rsidRPr="00B27D39" w:rsidRDefault="000E2DD9" w:rsidP="001D131F">
            <w:pPr>
              <w:pStyle w:val="RepTable"/>
              <w:jc w:val="center"/>
            </w:pPr>
            <w:r w:rsidRPr="0085700B">
              <w:t xml:space="preserve">Yes </w:t>
            </w:r>
          </w:p>
        </w:tc>
        <w:tc>
          <w:tcPr>
            <w:tcW w:w="438" w:type="pct"/>
          </w:tcPr>
          <w:p w:rsidR="000E2DD9" w:rsidRPr="00B27D39" w:rsidRDefault="000E2DD9" w:rsidP="001D131F">
            <w:pPr>
              <w:pStyle w:val="RepTable"/>
              <w:jc w:val="center"/>
            </w:pPr>
            <w:r w:rsidRPr="0085700B">
              <w:t xml:space="preserve">Bayer </w:t>
            </w:r>
          </w:p>
        </w:tc>
      </w:tr>
      <w:tr w:rsidR="000E2DD9" w:rsidRPr="00B27D39" w:rsidTr="001D131F">
        <w:tc>
          <w:tcPr>
            <w:tcW w:w="348" w:type="pct"/>
          </w:tcPr>
          <w:p w:rsidR="000E2DD9" w:rsidRPr="00B27D39" w:rsidRDefault="000E2DD9" w:rsidP="001D131F">
            <w:pPr>
              <w:pStyle w:val="RepTable"/>
            </w:pPr>
            <w:r w:rsidRPr="00890D82">
              <w:t>KCP 7.1.2 / 01</w:t>
            </w:r>
          </w:p>
        </w:tc>
        <w:tc>
          <w:tcPr>
            <w:tcW w:w="636" w:type="pct"/>
          </w:tcPr>
          <w:p w:rsidR="000E2DD9" w:rsidRPr="00FF3C47" w:rsidRDefault="000F03B2" w:rsidP="001D131F">
            <w:pPr>
              <w:pStyle w:val="RepTable"/>
              <w:rPr>
                <w:highlight w:val="black"/>
              </w:rPr>
            </w:pPr>
            <w:r w:rsidRPr="00FF3C47">
              <w:rPr>
                <w:noProof w:val="0"/>
                <w:color w:val="000000"/>
                <w:kern w:val="2"/>
                <w:highlight w:val="black"/>
                <w:lang w:val="en-IE" w:eastAsia="en-IE"/>
              </w:rPr>
              <w:t>Anon</w:t>
            </w:r>
          </w:p>
        </w:tc>
        <w:tc>
          <w:tcPr>
            <w:tcW w:w="269" w:type="pct"/>
          </w:tcPr>
          <w:p w:rsidR="000E2DD9" w:rsidRPr="00FF3C47" w:rsidRDefault="000E2DD9" w:rsidP="001D131F">
            <w:pPr>
              <w:pStyle w:val="RepTable"/>
              <w:jc w:val="center"/>
              <w:rPr>
                <w:highlight w:val="black"/>
              </w:rPr>
            </w:pPr>
            <w:r w:rsidRPr="00FF3C47">
              <w:rPr>
                <w:highlight w:val="black"/>
              </w:rPr>
              <w:t>2003</w:t>
            </w:r>
          </w:p>
        </w:tc>
        <w:tc>
          <w:tcPr>
            <w:tcW w:w="2949" w:type="pct"/>
          </w:tcPr>
          <w:p w:rsidR="000E2DD9" w:rsidRDefault="000E2DD9" w:rsidP="001D131F">
            <w:pPr>
              <w:pStyle w:val="RepTable"/>
            </w:pPr>
            <w:r>
              <w:t xml:space="preserve">Mesosulfuron-methyl &amp; iodosulfuron-methyl-sodium &amp; mefenpyr-diethyl OD 10 + 2 + 30 (AE </w:t>
            </w:r>
          </w:p>
          <w:p w:rsidR="000E2DD9" w:rsidRDefault="000E2DD9" w:rsidP="001D131F">
            <w:pPr>
              <w:pStyle w:val="RepTable"/>
            </w:pPr>
            <w:r>
              <w:t xml:space="preserve">F115008 06 OD04 A1 - Atlantis liquid) Acute toxicity in the rat after dermal administration </w:t>
            </w:r>
          </w:p>
          <w:p w:rsidR="000E2DD9" w:rsidRDefault="000E2DD9" w:rsidP="001D131F">
            <w:pPr>
              <w:pStyle w:val="RepTable"/>
            </w:pPr>
            <w:r>
              <w:t xml:space="preserve">Report No.: C038677, Edition Number: M-225482-01-1 xxxxxxxxxxxxx </w:t>
            </w:r>
          </w:p>
          <w:p w:rsidR="00FE6385" w:rsidRPr="00FE6385" w:rsidRDefault="00FE6385" w:rsidP="00FE6385">
            <w:pPr>
              <w:pStyle w:val="RepTable"/>
            </w:pPr>
            <w:r w:rsidRPr="00FE6385">
              <w:lastRenderedPageBreak/>
              <w:t>GLP/GEP: Yes</w:t>
            </w:r>
          </w:p>
          <w:p w:rsidR="000E2DD9" w:rsidRPr="00B27D39" w:rsidRDefault="00FE6385" w:rsidP="00FE6385">
            <w:pPr>
              <w:pStyle w:val="RepTable"/>
            </w:pPr>
            <w:r w:rsidRPr="00FE6385">
              <w:rPr>
                <w:lang w:val="en-US"/>
              </w:rPr>
              <w:t>Unpublished</w:t>
            </w:r>
          </w:p>
        </w:tc>
        <w:tc>
          <w:tcPr>
            <w:tcW w:w="360" w:type="pct"/>
          </w:tcPr>
          <w:p w:rsidR="000E2DD9" w:rsidRPr="00B27D39" w:rsidRDefault="000E2DD9" w:rsidP="001D131F">
            <w:pPr>
              <w:pStyle w:val="RepTable"/>
              <w:jc w:val="center"/>
            </w:pPr>
            <w:r w:rsidRPr="0085700B">
              <w:lastRenderedPageBreak/>
              <w:t xml:space="preserve">Yes </w:t>
            </w:r>
          </w:p>
        </w:tc>
        <w:tc>
          <w:tcPr>
            <w:tcW w:w="438" w:type="pct"/>
          </w:tcPr>
          <w:p w:rsidR="000E2DD9" w:rsidRPr="00B27D39" w:rsidRDefault="000E2DD9" w:rsidP="001D131F">
            <w:pPr>
              <w:pStyle w:val="RepTable"/>
              <w:jc w:val="center"/>
            </w:pPr>
            <w:r w:rsidRPr="0085700B">
              <w:t xml:space="preserve">Bayer </w:t>
            </w:r>
          </w:p>
        </w:tc>
      </w:tr>
      <w:tr w:rsidR="000E2DD9" w:rsidRPr="00B27D39" w:rsidTr="001D131F">
        <w:tc>
          <w:tcPr>
            <w:tcW w:w="348" w:type="pct"/>
            <w:tcBorders>
              <w:top w:val="single" w:sz="6" w:space="0" w:color="000000"/>
              <w:left w:val="single" w:sz="6" w:space="0" w:color="000000"/>
              <w:bottom w:val="single" w:sz="6" w:space="0" w:color="000000"/>
              <w:right w:val="single" w:sz="6" w:space="0" w:color="000000"/>
            </w:tcBorders>
          </w:tcPr>
          <w:p w:rsidR="000E2DD9" w:rsidRPr="00B27D39" w:rsidRDefault="000E2DD9" w:rsidP="001D131F">
            <w:pPr>
              <w:pStyle w:val="RepTable"/>
            </w:pPr>
            <w:r>
              <w:lastRenderedPageBreak/>
              <w:t xml:space="preserve">KCP 7.1.4 / 01 </w:t>
            </w:r>
          </w:p>
        </w:tc>
        <w:tc>
          <w:tcPr>
            <w:tcW w:w="636" w:type="pct"/>
            <w:tcBorders>
              <w:top w:val="single" w:sz="6" w:space="0" w:color="000000"/>
              <w:left w:val="single" w:sz="6" w:space="0" w:color="000000"/>
              <w:bottom w:val="single" w:sz="6" w:space="0" w:color="000000"/>
              <w:right w:val="single" w:sz="6" w:space="0" w:color="000000"/>
            </w:tcBorders>
          </w:tcPr>
          <w:p w:rsidR="000E2DD9" w:rsidRPr="00FF3C47" w:rsidRDefault="000F03B2" w:rsidP="001D131F">
            <w:pPr>
              <w:pStyle w:val="RepTable"/>
              <w:rPr>
                <w:highlight w:val="black"/>
              </w:rPr>
            </w:pPr>
            <w:r w:rsidRPr="00FF3C47">
              <w:rPr>
                <w:noProof w:val="0"/>
                <w:color w:val="000000"/>
                <w:kern w:val="2"/>
                <w:highlight w:val="black"/>
                <w:lang w:val="en-IE" w:eastAsia="en-IE"/>
              </w:rPr>
              <w:t>Anon</w:t>
            </w:r>
          </w:p>
        </w:tc>
        <w:tc>
          <w:tcPr>
            <w:tcW w:w="269" w:type="pct"/>
            <w:tcBorders>
              <w:top w:val="single" w:sz="6" w:space="0" w:color="000000"/>
              <w:left w:val="single" w:sz="6" w:space="0" w:color="000000"/>
              <w:bottom w:val="single" w:sz="6" w:space="0" w:color="000000"/>
              <w:right w:val="single" w:sz="6" w:space="0" w:color="000000"/>
            </w:tcBorders>
          </w:tcPr>
          <w:p w:rsidR="000E2DD9" w:rsidRPr="00FF3C47" w:rsidRDefault="000E2DD9" w:rsidP="001D131F">
            <w:pPr>
              <w:pStyle w:val="RepTable"/>
              <w:jc w:val="center"/>
              <w:rPr>
                <w:highlight w:val="black"/>
              </w:rPr>
            </w:pPr>
            <w:r w:rsidRPr="00FF3C47">
              <w:rPr>
                <w:highlight w:val="black"/>
              </w:rPr>
              <w:t xml:space="preserve">2004 </w:t>
            </w:r>
          </w:p>
        </w:tc>
        <w:tc>
          <w:tcPr>
            <w:tcW w:w="2949" w:type="pct"/>
          </w:tcPr>
          <w:p w:rsidR="000E2DD9" w:rsidRDefault="000E2DD9" w:rsidP="001D131F">
            <w:pPr>
              <w:pStyle w:val="RepTable"/>
            </w:pPr>
            <w:r>
              <w:t xml:space="preserve">Acute skin irritation / corrosion on rabbits Mesosulfuron-methyl &amp; iodosulfuron-methyl-sodium &amp; mefenpyr-diethyl OD 10 + 2 +30 (AE F115008 06 OD04 A1 - Atlantis Liquid) 1st revised version of report AT00973 </w:t>
            </w:r>
          </w:p>
          <w:p w:rsidR="000E2DD9" w:rsidRDefault="000E2DD9" w:rsidP="001D131F">
            <w:pPr>
              <w:pStyle w:val="RepTable"/>
              <w:rPr>
                <w:lang w:val="en-US"/>
              </w:rPr>
            </w:pPr>
            <w:r>
              <w:t>Report No.: C042947, Edition Number: M-227101-02-1</w:t>
            </w:r>
            <w:r w:rsidRPr="00890D82">
              <w:rPr>
                <w:noProof w:val="0"/>
                <w:sz w:val="22"/>
                <w:lang w:val="en-US"/>
              </w:rPr>
              <w:t xml:space="preserve"> </w:t>
            </w:r>
            <w:r w:rsidRPr="00890D82">
              <w:rPr>
                <w:lang w:val="en-US"/>
              </w:rPr>
              <w:t>xxxxxxxxxxxxx... amended: 2004-07-21</w:t>
            </w:r>
          </w:p>
          <w:p w:rsidR="00FE6385" w:rsidRPr="00FE6385" w:rsidRDefault="00FE6385" w:rsidP="00FE6385">
            <w:pPr>
              <w:pStyle w:val="RepTable"/>
            </w:pPr>
            <w:r w:rsidRPr="00FE6385">
              <w:t>GLP/GEP: Yes</w:t>
            </w:r>
          </w:p>
          <w:p w:rsidR="000E2DD9" w:rsidRPr="00B27D39" w:rsidRDefault="00FE6385" w:rsidP="00FE6385">
            <w:pPr>
              <w:pStyle w:val="RepTable"/>
            </w:pPr>
            <w:r w:rsidRPr="00FE6385">
              <w:rPr>
                <w:lang w:val="en-US"/>
              </w:rPr>
              <w:t>Unpublished</w:t>
            </w:r>
          </w:p>
        </w:tc>
        <w:tc>
          <w:tcPr>
            <w:tcW w:w="360" w:type="pct"/>
          </w:tcPr>
          <w:p w:rsidR="000E2DD9" w:rsidRPr="00B27D39" w:rsidRDefault="000E2DD9" w:rsidP="001D131F">
            <w:pPr>
              <w:pStyle w:val="RepTable"/>
              <w:jc w:val="center"/>
            </w:pPr>
            <w:r w:rsidRPr="0085700B">
              <w:t xml:space="preserve">Yes </w:t>
            </w:r>
          </w:p>
        </w:tc>
        <w:tc>
          <w:tcPr>
            <w:tcW w:w="438" w:type="pct"/>
          </w:tcPr>
          <w:p w:rsidR="000E2DD9" w:rsidRPr="00B27D39" w:rsidRDefault="000E2DD9" w:rsidP="001D131F">
            <w:pPr>
              <w:pStyle w:val="RepTable"/>
              <w:jc w:val="center"/>
            </w:pPr>
            <w:r w:rsidRPr="0085700B">
              <w:t xml:space="preserve">Bayer </w:t>
            </w:r>
          </w:p>
        </w:tc>
      </w:tr>
      <w:tr w:rsidR="000E2DD9" w:rsidRPr="00B27D39" w:rsidTr="001D131F">
        <w:tc>
          <w:tcPr>
            <w:tcW w:w="348" w:type="pct"/>
          </w:tcPr>
          <w:p w:rsidR="000E2DD9" w:rsidRPr="00B27D39" w:rsidRDefault="000E2DD9" w:rsidP="001D131F">
            <w:pPr>
              <w:pStyle w:val="RepTable"/>
            </w:pPr>
            <w:r w:rsidRPr="00094EF1">
              <w:t>KCP 7.1.5 / 01</w:t>
            </w:r>
          </w:p>
        </w:tc>
        <w:tc>
          <w:tcPr>
            <w:tcW w:w="636" w:type="pct"/>
          </w:tcPr>
          <w:p w:rsidR="000E2DD9" w:rsidRPr="00FF3C47" w:rsidRDefault="000F03B2" w:rsidP="001D131F">
            <w:pPr>
              <w:pStyle w:val="RepTable"/>
              <w:rPr>
                <w:highlight w:val="black"/>
              </w:rPr>
            </w:pPr>
            <w:r w:rsidRPr="00FF3C47">
              <w:rPr>
                <w:noProof w:val="0"/>
                <w:color w:val="000000"/>
                <w:kern w:val="2"/>
                <w:highlight w:val="black"/>
                <w:lang w:val="en-IE" w:eastAsia="en-IE"/>
              </w:rPr>
              <w:t>Anon</w:t>
            </w:r>
          </w:p>
        </w:tc>
        <w:tc>
          <w:tcPr>
            <w:tcW w:w="269" w:type="pct"/>
          </w:tcPr>
          <w:p w:rsidR="000E2DD9" w:rsidRPr="00FF3C47" w:rsidRDefault="000E2DD9" w:rsidP="001D131F">
            <w:pPr>
              <w:pStyle w:val="RepTable"/>
              <w:jc w:val="center"/>
              <w:rPr>
                <w:highlight w:val="black"/>
              </w:rPr>
            </w:pPr>
            <w:r w:rsidRPr="00FF3C47">
              <w:rPr>
                <w:highlight w:val="black"/>
              </w:rPr>
              <w:t xml:space="preserve">2004 </w:t>
            </w:r>
          </w:p>
        </w:tc>
        <w:tc>
          <w:tcPr>
            <w:tcW w:w="2949" w:type="pct"/>
          </w:tcPr>
          <w:p w:rsidR="000E2DD9" w:rsidRDefault="000E2DD9" w:rsidP="001D131F">
            <w:pPr>
              <w:pStyle w:val="RepTable"/>
            </w:pPr>
            <w:r>
              <w:t xml:space="preserve">Acute eye irritation/corrosion on rabbits - Atlantis liquid Mesosulfuron-methyl &amp; iodosulfuronmethyl-sodium &amp; mefenpyr-diethyl, OD 10 + 2 + 30 Code: AE F115008 06 OD04 A1 </w:t>
            </w:r>
          </w:p>
          <w:p w:rsidR="000E2DD9" w:rsidRDefault="000E2DD9" w:rsidP="001D131F">
            <w:pPr>
              <w:pStyle w:val="RepTable"/>
            </w:pPr>
            <w:r>
              <w:t xml:space="preserve">Report No.: C039670, Edition Number: M-227104-01-1 xxxxxxxxxxxxxx </w:t>
            </w:r>
          </w:p>
          <w:p w:rsidR="00FE6385" w:rsidRPr="00FE6385" w:rsidRDefault="00FE6385" w:rsidP="00FE6385">
            <w:pPr>
              <w:pStyle w:val="RepTable"/>
            </w:pPr>
            <w:r w:rsidRPr="00FE6385">
              <w:t>GLP/GEP: Yes</w:t>
            </w:r>
          </w:p>
          <w:p w:rsidR="000E2DD9" w:rsidRPr="00B27D39" w:rsidRDefault="00FE6385" w:rsidP="00FE6385">
            <w:pPr>
              <w:pStyle w:val="RepTable"/>
            </w:pPr>
            <w:r w:rsidRPr="00FE6385">
              <w:rPr>
                <w:lang w:val="en-US"/>
              </w:rPr>
              <w:t>Unpublished</w:t>
            </w:r>
          </w:p>
        </w:tc>
        <w:tc>
          <w:tcPr>
            <w:tcW w:w="360" w:type="pct"/>
          </w:tcPr>
          <w:p w:rsidR="000E2DD9" w:rsidRPr="00B27D39" w:rsidRDefault="000E2DD9" w:rsidP="001D131F">
            <w:pPr>
              <w:pStyle w:val="RepTable"/>
              <w:jc w:val="center"/>
            </w:pPr>
            <w:r w:rsidRPr="0085700B">
              <w:t xml:space="preserve">Yes </w:t>
            </w:r>
          </w:p>
        </w:tc>
        <w:tc>
          <w:tcPr>
            <w:tcW w:w="438" w:type="pct"/>
          </w:tcPr>
          <w:p w:rsidR="000E2DD9" w:rsidRPr="00B27D39" w:rsidRDefault="000E2DD9" w:rsidP="001D131F">
            <w:pPr>
              <w:pStyle w:val="RepTable"/>
              <w:jc w:val="center"/>
            </w:pPr>
            <w:r w:rsidRPr="0085700B">
              <w:t xml:space="preserve">Bayer </w:t>
            </w:r>
          </w:p>
        </w:tc>
      </w:tr>
      <w:tr w:rsidR="000E2DD9" w:rsidRPr="00B27D39" w:rsidTr="001D131F">
        <w:tc>
          <w:tcPr>
            <w:tcW w:w="348" w:type="pct"/>
          </w:tcPr>
          <w:p w:rsidR="000E2DD9" w:rsidRPr="00B27D39" w:rsidRDefault="000E2DD9" w:rsidP="001D131F">
            <w:pPr>
              <w:pStyle w:val="RepTable"/>
            </w:pPr>
            <w:r w:rsidRPr="00094EF1">
              <w:t>KCP 7.1.6 / 01</w:t>
            </w:r>
          </w:p>
        </w:tc>
        <w:tc>
          <w:tcPr>
            <w:tcW w:w="636" w:type="pct"/>
          </w:tcPr>
          <w:p w:rsidR="000E2DD9" w:rsidRPr="00FF3C47" w:rsidRDefault="000F03B2" w:rsidP="001D131F">
            <w:pPr>
              <w:pStyle w:val="RepTable"/>
              <w:rPr>
                <w:highlight w:val="black"/>
              </w:rPr>
            </w:pPr>
            <w:r w:rsidRPr="00FF3C47">
              <w:rPr>
                <w:noProof w:val="0"/>
                <w:color w:val="000000"/>
                <w:kern w:val="2"/>
                <w:highlight w:val="black"/>
                <w:lang w:val="en-IE" w:eastAsia="en-IE"/>
              </w:rPr>
              <w:t>Anon</w:t>
            </w:r>
          </w:p>
        </w:tc>
        <w:tc>
          <w:tcPr>
            <w:tcW w:w="269" w:type="pct"/>
          </w:tcPr>
          <w:p w:rsidR="000E2DD9" w:rsidRPr="00FF3C47" w:rsidRDefault="000E2DD9" w:rsidP="001D131F">
            <w:pPr>
              <w:pStyle w:val="RepTable"/>
              <w:jc w:val="center"/>
              <w:rPr>
                <w:highlight w:val="black"/>
              </w:rPr>
            </w:pPr>
            <w:r w:rsidRPr="00FF3C47">
              <w:rPr>
                <w:highlight w:val="black"/>
              </w:rPr>
              <w:t xml:space="preserve">2004 </w:t>
            </w:r>
          </w:p>
        </w:tc>
        <w:tc>
          <w:tcPr>
            <w:tcW w:w="2949" w:type="pct"/>
          </w:tcPr>
          <w:p w:rsidR="000E2DD9" w:rsidRDefault="000E2DD9" w:rsidP="001D131F">
            <w:pPr>
              <w:pStyle w:val="RepTable"/>
            </w:pPr>
            <w:r>
              <w:t xml:space="preserve">Study for the skin sensitization effect in guinea pigs (Buehler patch test) Code: AE F115008 06 OD04 A104 </w:t>
            </w:r>
          </w:p>
          <w:p w:rsidR="000E2DD9" w:rsidRDefault="000E2DD9" w:rsidP="001D131F">
            <w:pPr>
              <w:pStyle w:val="RepTable"/>
            </w:pPr>
            <w:r>
              <w:t>Report No.: C039780, Edition Number: M-227212-02-1 xxxxxxxxxxxxxxxxx</w:t>
            </w:r>
            <w:r w:rsidRPr="00094EF1">
              <w:t>... amended: 2004-03-18</w:t>
            </w:r>
          </w:p>
          <w:p w:rsidR="00FE6385" w:rsidRPr="00FE6385" w:rsidRDefault="00FE6385" w:rsidP="00FE6385">
            <w:pPr>
              <w:pStyle w:val="RepTable"/>
            </w:pPr>
            <w:r w:rsidRPr="00FE6385">
              <w:t>GLP/GEP: Yes</w:t>
            </w:r>
          </w:p>
          <w:p w:rsidR="000E2DD9" w:rsidRPr="00B27D39" w:rsidRDefault="00FE6385" w:rsidP="00FE6385">
            <w:pPr>
              <w:pStyle w:val="RepTable"/>
            </w:pPr>
            <w:r w:rsidRPr="00FE6385">
              <w:rPr>
                <w:lang w:val="en-US"/>
              </w:rPr>
              <w:t>Unpublished</w:t>
            </w:r>
          </w:p>
        </w:tc>
        <w:tc>
          <w:tcPr>
            <w:tcW w:w="360" w:type="pct"/>
          </w:tcPr>
          <w:p w:rsidR="000E2DD9" w:rsidRPr="00B27D39" w:rsidRDefault="000E2DD9" w:rsidP="001D131F">
            <w:pPr>
              <w:pStyle w:val="RepTable"/>
              <w:jc w:val="center"/>
            </w:pPr>
            <w:r w:rsidRPr="00723921">
              <w:t xml:space="preserve">Yes </w:t>
            </w:r>
          </w:p>
        </w:tc>
        <w:tc>
          <w:tcPr>
            <w:tcW w:w="438" w:type="pct"/>
          </w:tcPr>
          <w:p w:rsidR="000E2DD9" w:rsidRPr="00B27D39" w:rsidRDefault="000E2DD9" w:rsidP="001D131F">
            <w:pPr>
              <w:pStyle w:val="RepTable"/>
              <w:jc w:val="center"/>
            </w:pPr>
            <w:r w:rsidRPr="00723921">
              <w:t xml:space="preserve">Bayer </w:t>
            </w:r>
          </w:p>
        </w:tc>
      </w:tr>
    </w:tbl>
    <w:p w:rsidR="00E24EAF" w:rsidRDefault="00E24EAF" w:rsidP="00E24EAF">
      <w:pPr>
        <w:pStyle w:val="RepStandard"/>
        <w:spacing w:before="240" w:after="240"/>
        <w:rPr>
          <w:b/>
          <w:bCs/>
          <w:u w:val="single"/>
          <w:lang w:val="en-IE"/>
        </w:rPr>
      </w:pPr>
      <w:proofErr w:type="spellStart"/>
      <w:r w:rsidRPr="00E24EAF">
        <w:rPr>
          <w:b/>
          <w:bCs/>
          <w:u w:val="single"/>
          <w:lang w:val="en-IE"/>
        </w:rPr>
        <w:t>Iodosulfuron</w:t>
      </w:r>
      <w:proofErr w:type="spellEnd"/>
      <w:r w:rsidRPr="00E24EAF">
        <w:rPr>
          <w:b/>
          <w:bCs/>
          <w:u w:val="single"/>
          <w:lang w:val="en-IE"/>
        </w:rPr>
        <w:t>-methyl-sodium</w:t>
      </w:r>
    </w:p>
    <w:p w:rsidR="000E2DD9" w:rsidRPr="00E24EAF" w:rsidRDefault="000E2DD9" w:rsidP="00E24EAF">
      <w:pPr>
        <w:pStyle w:val="RepStandard"/>
        <w:spacing w:before="240" w:after="240"/>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19"/>
        <w:gridCol w:w="1868"/>
        <w:gridCol w:w="793"/>
        <w:gridCol w:w="8658"/>
        <w:gridCol w:w="1057"/>
        <w:gridCol w:w="1289"/>
      </w:tblGrid>
      <w:tr w:rsidR="00F9783D" w:rsidRPr="00B27D39" w:rsidTr="00195EDC">
        <w:trPr>
          <w:tblHeader/>
        </w:trPr>
        <w:tc>
          <w:tcPr>
            <w:tcW w:w="347" w:type="pct"/>
            <w:vAlign w:val="center"/>
          </w:tcPr>
          <w:p w:rsidR="00F9783D" w:rsidRPr="00B27D39" w:rsidRDefault="00F9783D" w:rsidP="00E0107B">
            <w:pPr>
              <w:pStyle w:val="RepTableHeader"/>
              <w:jc w:val="center"/>
              <w:rPr>
                <w:lang w:val="en-GB"/>
              </w:rPr>
            </w:pPr>
            <w:bookmarkStart w:id="560" w:name="_Hlk149916350"/>
            <w:r w:rsidRPr="00B27D39">
              <w:rPr>
                <w:lang w:val="en-GB"/>
              </w:rPr>
              <w:t>Data point</w:t>
            </w:r>
          </w:p>
        </w:tc>
        <w:tc>
          <w:tcPr>
            <w:tcW w:w="636" w:type="pct"/>
            <w:vAlign w:val="center"/>
          </w:tcPr>
          <w:p w:rsidR="00F9783D" w:rsidRPr="00B27D39" w:rsidRDefault="00F9783D" w:rsidP="00E0107B">
            <w:pPr>
              <w:pStyle w:val="RepTableHeader"/>
              <w:jc w:val="center"/>
              <w:rPr>
                <w:lang w:val="en-GB"/>
              </w:rPr>
            </w:pPr>
            <w:r w:rsidRPr="00B27D39">
              <w:rPr>
                <w:lang w:val="en-GB"/>
              </w:rPr>
              <w:t>Author(s)</w:t>
            </w:r>
          </w:p>
        </w:tc>
        <w:tc>
          <w:tcPr>
            <w:tcW w:w="270" w:type="pct"/>
            <w:vAlign w:val="center"/>
          </w:tcPr>
          <w:p w:rsidR="00F9783D" w:rsidRPr="00B27D39" w:rsidRDefault="00F9783D" w:rsidP="00E0107B">
            <w:pPr>
              <w:pStyle w:val="RepTableHeader"/>
              <w:jc w:val="center"/>
              <w:rPr>
                <w:lang w:val="en-GB"/>
              </w:rPr>
            </w:pPr>
            <w:r w:rsidRPr="00B27D39">
              <w:rPr>
                <w:lang w:val="en-GB"/>
              </w:rPr>
              <w:t>Year</w:t>
            </w:r>
          </w:p>
        </w:tc>
        <w:tc>
          <w:tcPr>
            <w:tcW w:w="2948" w:type="pct"/>
            <w:vAlign w:val="center"/>
          </w:tcPr>
          <w:p w:rsidR="00F9783D" w:rsidRPr="00B27D39" w:rsidRDefault="00F9783D" w:rsidP="00E0107B">
            <w:pPr>
              <w:pStyle w:val="RepTableHeader"/>
              <w:rPr>
                <w:lang w:val="en-GB"/>
              </w:rPr>
            </w:pPr>
            <w:r w:rsidRPr="00B27D39">
              <w:rPr>
                <w:lang w:val="en-GB"/>
              </w:rPr>
              <w:t>Title</w:t>
            </w:r>
            <w:r w:rsidRPr="00B27D39">
              <w:rPr>
                <w:lang w:val="en-GB"/>
              </w:rPr>
              <w:br/>
              <w:t>Company Report No.</w:t>
            </w:r>
            <w:r w:rsidRPr="00B27D39">
              <w:rPr>
                <w:lang w:val="en-GB"/>
              </w:rPr>
              <w:tab/>
            </w:r>
            <w:r w:rsidRPr="00B27D39">
              <w:rPr>
                <w:lang w:val="en-GB"/>
              </w:rPr>
              <w:br/>
              <w:t>Source (where different from company)</w:t>
            </w:r>
            <w:r w:rsidRPr="00B27D39">
              <w:rPr>
                <w:lang w:val="en-GB"/>
              </w:rPr>
              <w:br/>
              <w:t>GLP or GEP status</w:t>
            </w:r>
            <w:r w:rsidRPr="00B27D39">
              <w:rPr>
                <w:lang w:val="en-GB"/>
              </w:rPr>
              <w:br/>
              <w:t>Published or not</w:t>
            </w:r>
          </w:p>
        </w:tc>
        <w:tc>
          <w:tcPr>
            <w:tcW w:w="360" w:type="pct"/>
            <w:vAlign w:val="center"/>
          </w:tcPr>
          <w:p w:rsidR="00F9783D" w:rsidRPr="00B27D39" w:rsidRDefault="00F9783D" w:rsidP="00E0107B">
            <w:pPr>
              <w:pStyle w:val="RepTableHeader"/>
              <w:jc w:val="center"/>
              <w:rPr>
                <w:lang w:val="en-GB"/>
              </w:rPr>
            </w:pPr>
            <w:r w:rsidRPr="00B27D39">
              <w:rPr>
                <w:lang w:val="en-GB"/>
              </w:rPr>
              <w:t>Vertebrate study</w:t>
            </w:r>
          </w:p>
          <w:p w:rsidR="00F9783D" w:rsidRPr="00B27D39" w:rsidRDefault="00F9783D" w:rsidP="00E0107B">
            <w:pPr>
              <w:pStyle w:val="RepTableHeader"/>
              <w:jc w:val="center"/>
              <w:rPr>
                <w:lang w:val="en-GB"/>
              </w:rPr>
            </w:pPr>
            <w:r w:rsidRPr="00B27D39">
              <w:rPr>
                <w:lang w:val="en-GB"/>
              </w:rPr>
              <w:t>Y/N</w:t>
            </w:r>
          </w:p>
        </w:tc>
        <w:tc>
          <w:tcPr>
            <w:tcW w:w="439" w:type="pct"/>
            <w:vAlign w:val="center"/>
          </w:tcPr>
          <w:p w:rsidR="00F9783D" w:rsidRPr="00B27D39" w:rsidRDefault="00F9783D" w:rsidP="00E0107B">
            <w:pPr>
              <w:pStyle w:val="RepTableHeader"/>
              <w:jc w:val="center"/>
              <w:rPr>
                <w:lang w:val="en-GB"/>
              </w:rPr>
            </w:pPr>
            <w:r w:rsidRPr="00B27D39">
              <w:rPr>
                <w:lang w:val="en-GB"/>
              </w:rPr>
              <w:t>Owner</w:t>
            </w:r>
          </w:p>
        </w:tc>
      </w:tr>
      <w:tr w:rsidR="00195EDC" w:rsidRPr="00B27D39" w:rsidTr="00195EDC">
        <w:tc>
          <w:tcPr>
            <w:tcW w:w="347" w:type="pct"/>
          </w:tcPr>
          <w:p w:rsidR="00195EDC" w:rsidRDefault="00195EDC" w:rsidP="00195EDC">
            <w:pPr>
              <w:pStyle w:val="RepTable"/>
            </w:pPr>
            <w:r>
              <w:t xml:space="preserve">KCA </w:t>
            </w:r>
          </w:p>
          <w:p w:rsidR="00195EDC" w:rsidRPr="00B27D39" w:rsidRDefault="00195EDC" w:rsidP="00195EDC">
            <w:pPr>
              <w:pStyle w:val="RepTable"/>
            </w:pPr>
            <w:r>
              <w:t>5.1.1/01</w:t>
            </w:r>
          </w:p>
        </w:tc>
        <w:tc>
          <w:tcPr>
            <w:tcW w:w="636" w:type="pct"/>
          </w:tcPr>
          <w:p w:rsidR="00195EDC" w:rsidRPr="00FF3C47" w:rsidRDefault="00195EDC" w:rsidP="00195EDC">
            <w:pPr>
              <w:pStyle w:val="RepTable"/>
              <w:rPr>
                <w:highlight w:val="black"/>
              </w:rPr>
            </w:pPr>
            <w:r w:rsidRPr="00FF3C47">
              <w:rPr>
                <w:highlight w:val="black"/>
              </w:rPr>
              <w:t>Maas, J.; Braun, R.</w:t>
            </w:r>
          </w:p>
        </w:tc>
        <w:tc>
          <w:tcPr>
            <w:tcW w:w="270" w:type="pct"/>
          </w:tcPr>
          <w:p w:rsidR="00195EDC" w:rsidRPr="00FF3C47" w:rsidRDefault="00195EDC" w:rsidP="00195EDC">
            <w:pPr>
              <w:pStyle w:val="RepTable"/>
              <w:jc w:val="center"/>
              <w:rPr>
                <w:highlight w:val="black"/>
              </w:rPr>
            </w:pPr>
            <w:r w:rsidRPr="00FF3C47">
              <w:rPr>
                <w:highlight w:val="black"/>
              </w:rPr>
              <w:t>1996</w:t>
            </w:r>
          </w:p>
        </w:tc>
        <w:tc>
          <w:tcPr>
            <w:tcW w:w="2948" w:type="pct"/>
          </w:tcPr>
          <w:p w:rsidR="00195EDC" w:rsidRDefault="00195EDC" w:rsidP="00195EDC">
            <w:pPr>
              <w:pStyle w:val="RepTable"/>
            </w:pPr>
            <w:r>
              <w:t xml:space="preserve">Biostability after a single oral administration of 500 mg/kg body weight to a male and female rat (Phenyl-U-14C) Code: Hoe 115008 </w:t>
            </w:r>
          </w:p>
          <w:p w:rsidR="00195EDC" w:rsidRDefault="00195EDC" w:rsidP="00195EDC">
            <w:pPr>
              <w:pStyle w:val="RepTable"/>
            </w:pPr>
            <w:r>
              <w:lastRenderedPageBreak/>
              <w:t xml:space="preserve">Hoechst Marion Roussel, Frankfurt am Main, Germany </w:t>
            </w:r>
          </w:p>
          <w:p w:rsidR="00195EDC" w:rsidRDefault="00195EDC" w:rsidP="00195EDC">
            <w:pPr>
              <w:pStyle w:val="RepTable"/>
            </w:pPr>
            <w:r>
              <w:t xml:space="preserve">Bayer CropScience, </w:t>
            </w:r>
          </w:p>
          <w:p w:rsidR="00195EDC" w:rsidRDefault="00195EDC" w:rsidP="00195EDC">
            <w:pPr>
              <w:pStyle w:val="RepTable"/>
            </w:pPr>
            <w:r>
              <w:t xml:space="preserve">Report No.: A58314, Edition Number: M-142006-01-1 </w:t>
            </w:r>
          </w:p>
          <w:p w:rsidR="00F35621" w:rsidRDefault="00F35621" w:rsidP="00195EDC">
            <w:pPr>
              <w:pStyle w:val="RepTable"/>
            </w:pPr>
            <w:r w:rsidRPr="00F35621">
              <w:t>Date: 1996-08-15</w:t>
            </w:r>
          </w:p>
          <w:p w:rsidR="00FE6385" w:rsidRPr="00FE6385" w:rsidRDefault="00FE6385" w:rsidP="00FE6385">
            <w:pPr>
              <w:pStyle w:val="RepTable"/>
            </w:pPr>
            <w:r w:rsidRPr="00FE6385">
              <w:t>GLP/GEP: Yes</w:t>
            </w:r>
          </w:p>
          <w:p w:rsidR="00195EDC" w:rsidRPr="00B27D39" w:rsidRDefault="00FE6385" w:rsidP="00FE6385">
            <w:pPr>
              <w:pStyle w:val="RepTable"/>
            </w:pPr>
            <w:r w:rsidRPr="00FE6385">
              <w:rPr>
                <w:lang w:val="en-US"/>
              </w:rPr>
              <w:t>Unpublished</w:t>
            </w:r>
          </w:p>
        </w:tc>
        <w:tc>
          <w:tcPr>
            <w:tcW w:w="360" w:type="pct"/>
          </w:tcPr>
          <w:p w:rsidR="00195EDC" w:rsidRPr="00B27D39" w:rsidRDefault="00195EDC" w:rsidP="00195EDC">
            <w:pPr>
              <w:pStyle w:val="RepTable"/>
              <w:jc w:val="center"/>
            </w:pPr>
            <w:r w:rsidRPr="007E7DCB">
              <w:lastRenderedPageBreak/>
              <w:t xml:space="preserve">Y </w:t>
            </w:r>
          </w:p>
        </w:tc>
        <w:tc>
          <w:tcPr>
            <w:tcW w:w="439" w:type="pct"/>
          </w:tcPr>
          <w:p w:rsidR="00195EDC" w:rsidRPr="00B27D39" w:rsidRDefault="00195EDC" w:rsidP="00195EDC">
            <w:pPr>
              <w:pStyle w:val="RepTable"/>
              <w:jc w:val="center"/>
            </w:pPr>
            <w:r w:rsidRPr="007E7DCB">
              <w:t xml:space="preserve">Bayer CropScience </w:t>
            </w:r>
          </w:p>
        </w:tc>
      </w:tr>
      <w:tr w:rsidR="00195EDC" w:rsidRPr="00B27D39" w:rsidTr="00195EDC">
        <w:tc>
          <w:tcPr>
            <w:tcW w:w="347" w:type="pct"/>
          </w:tcPr>
          <w:p w:rsidR="00195EDC" w:rsidRDefault="00195EDC" w:rsidP="00195EDC">
            <w:pPr>
              <w:pStyle w:val="RepTable"/>
            </w:pPr>
            <w:r>
              <w:lastRenderedPageBreak/>
              <w:t xml:space="preserve">KCA </w:t>
            </w:r>
          </w:p>
          <w:p w:rsidR="00195EDC" w:rsidRPr="00B27D39" w:rsidRDefault="00195EDC" w:rsidP="00195EDC">
            <w:pPr>
              <w:pStyle w:val="RepTable"/>
            </w:pPr>
            <w:r>
              <w:t>5.1.1/02</w:t>
            </w:r>
          </w:p>
        </w:tc>
        <w:tc>
          <w:tcPr>
            <w:tcW w:w="636" w:type="pct"/>
          </w:tcPr>
          <w:p w:rsidR="00195EDC" w:rsidRPr="00FF3C47" w:rsidRDefault="000F03B2" w:rsidP="00195EDC">
            <w:pPr>
              <w:pStyle w:val="RepTable"/>
              <w:rPr>
                <w:highlight w:val="black"/>
              </w:rPr>
            </w:pPr>
            <w:r w:rsidRPr="00FF3C47">
              <w:rPr>
                <w:noProof w:val="0"/>
                <w:color w:val="000000"/>
                <w:kern w:val="2"/>
                <w:highlight w:val="black"/>
                <w:lang w:val="en-IE" w:eastAsia="en-IE"/>
              </w:rPr>
              <w:t>Anon</w:t>
            </w:r>
            <w:r w:rsidR="00195EDC" w:rsidRPr="00FF3C47">
              <w:rPr>
                <w:highlight w:val="black"/>
              </w:rPr>
              <w:t xml:space="preserve"> </w:t>
            </w:r>
          </w:p>
        </w:tc>
        <w:tc>
          <w:tcPr>
            <w:tcW w:w="270" w:type="pct"/>
          </w:tcPr>
          <w:p w:rsidR="00195EDC" w:rsidRPr="00FF3C47" w:rsidRDefault="00195EDC" w:rsidP="00195EDC">
            <w:pPr>
              <w:pStyle w:val="RepTable"/>
              <w:jc w:val="center"/>
              <w:rPr>
                <w:highlight w:val="black"/>
              </w:rPr>
            </w:pPr>
            <w:r w:rsidRPr="00FF3C47">
              <w:rPr>
                <w:highlight w:val="black"/>
              </w:rPr>
              <w:t xml:space="preserve">1996 </w:t>
            </w:r>
          </w:p>
        </w:tc>
        <w:tc>
          <w:tcPr>
            <w:tcW w:w="2948" w:type="pct"/>
          </w:tcPr>
          <w:p w:rsidR="00195EDC" w:rsidRDefault="00195EDC" w:rsidP="00195EDC">
            <w:pPr>
              <w:pStyle w:val="RepTable"/>
            </w:pPr>
            <w:r>
              <w:t xml:space="preserve">Absorption, distribution and elimination - rat, oral high dose (500 mg/kg body weight) 14C-Hoe 115008 xxxxxxxxxxxxx </w:t>
            </w:r>
          </w:p>
          <w:p w:rsidR="00F35621" w:rsidRDefault="00195EDC" w:rsidP="00195EDC">
            <w:pPr>
              <w:pStyle w:val="RepTable"/>
            </w:pPr>
            <w:r>
              <w:t>Report No.: A56257, Edition Number: M-140088-01-1</w:t>
            </w:r>
            <w:r w:rsidR="008B5BEC">
              <w:t>,</w:t>
            </w:r>
            <w:r>
              <w:t xml:space="preserve"> EPA MRID No.: 45108727</w:t>
            </w:r>
          </w:p>
          <w:p w:rsidR="00195EDC" w:rsidRDefault="00F35621" w:rsidP="00195EDC">
            <w:pPr>
              <w:pStyle w:val="RepTable"/>
            </w:pPr>
            <w:r w:rsidRPr="00F35621">
              <w:t>Date: 1996-01-29</w:t>
            </w:r>
          </w:p>
          <w:p w:rsidR="00FE6385" w:rsidRPr="00FE6385" w:rsidRDefault="00FE6385" w:rsidP="00FE6385">
            <w:pPr>
              <w:pStyle w:val="RepTable"/>
            </w:pPr>
            <w:r w:rsidRPr="00FE6385">
              <w:t>GLP/GEP: Yes</w:t>
            </w:r>
          </w:p>
          <w:p w:rsidR="00195EDC" w:rsidRPr="00B27D39" w:rsidRDefault="00FE6385" w:rsidP="00FE6385">
            <w:pPr>
              <w:pStyle w:val="RepTable"/>
            </w:pPr>
            <w:r w:rsidRPr="00FE6385">
              <w:rPr>
                <w:lang w:val="en-US"/>
              </w:rPr>
              <w:t>Unpublished</w:t>
            </w:r>
          </w:p>
        </w:tc>
        <w:tc>
          <w:tcPr>
            <w:tcW w:w="360" w:type="pct"/>
          </w:tcPr>
          <w:p w:rsidR="00195EDC" w:rsidRPr="00B27D39" w:rsidRDefault="00195EDC" w:rsidP="00195EDC">
            <w:pPr>
              <w:pStyle w:val="RepTable"/>
              <w:jc w:val="center"/>
            </w:pPr>
            <w:r w:rsidRPr="00E635AF">
              <w:t xml:space="preserve">Y </w:t>
            </w:r>
          </w:p>
        </w:tc>
        <w:tc>
          <w:tcPr>
            <w:tcW w:w="439" w:type="pct"/>
          </w:tcPr>
          <w:p w:rsidR="00195EDC" w:rsidRPr="00B27D39" w:rsidRDefault="00195EDC" w:rsidP="00195EDC">
            <w:pPr>
              <w:pStyle w:val="RepTable"/>
              <w:jc w:val="center"/>
            </w:pPr>
            <w:r w:rsidRPr="00E635AF">
              <w:t xml:space="preserve">Bayer CropScience </w:t>
            </w:r>
          </w:p>
        </w:tc>
      </w:tr>
      <w:tr w:rsidR="008B5BEC" w:rsidRPr="00B27D39" w:rsidTr="00195EDC">
        <w:tc>
          <w:tcPr>
            <w:tcW w:w="347" w:type="pct"/>
          </w:tcPr>
          <w:p w:rsidR="008B5BEC" w:rsidRDefault="008B5BEC" w:rsidP="008B5BEC">
            <w:pPr>
              <w:pStyle w:val="RepTable"/>
            </w:pPr>
            <w:r>
              <w:t xml:space="preserve">KCA </w:t>
            </w:r>
          </w:p>
          <w:p w:rsidR="008B5BEC" w:rsidRPr="00B27D39" w:rsidRDefault="008B5BEC" w:rsidP="008B5BEC">
            <w:pPr>
              <w:pStyle w:val="RepTable"/>
            </w:pPr>
            <w:r>
              <w:t>5.1.1/03</w:t>
            </w:r>
          </w:p>
        </w:tc>
        <w:tc>
          <w:tcPr>
            <w:tcW w:w="636" w:type="pct"/>
          </w:tcPr>
          <w:p w:rsidR="008B5BEC" w:rsidRPr="00FF3C47" w:rsidRDefault="000F03B2" w:rsidP="008B5BEC">
            <w:pPr>
              <w:pStyle w:val="RepTable"/>
              <w:rPr>
                <w:highlight w:val="black"/>
              </w:rPr>
            </w:pPr>
            <w:r w:rsidRPr="00FF3C47">
              <w:rPr>
                <w:noProof w:val="0"/>
                <w:color w:val="000000"/>
                <w:kern w:val="2"/>
                <w:highlight w:val="black"/>
                <w:lang w:val="en-IE" w:eastAsia="en-IE"/>
              </w:rPr>
              <w:t>Anon</w:t>
            </w:r>
          </w:p>
        </w:tc>
        <w:tc>
          <w:tcPr>
            <w:tcW w:w="270" w:type="pct"/>
          </w:tcPr>
          <w:p w:rsidR="008B5BEC" w:rsidRPr="00FF3C47" w:rsidRDefault="008B5BEC" w:rsidP="008B5BEC">
            <w:pPr>
              <w:pStyle w:val="RepTable"/>
              <w:jc w:val="center"/>
              <w:rPr>
                <w:highlight w:val="black"/>
              </w:rPr>
            </w:pPr>
            <w:r w:rsidRPr="00FF3C47">
              <w:rPr>
                <w:highlight w:val="black"/>
              </w:rPr>
              <w:t>1996</w:t>
            </w:r>
          </w:p>
        </w:tc>
        <w:tc>
          <w:tcPr>
            <w:tcW w:w="2948" w:type="pct"/>
          </w:tcPr>
          <w:p w:rsidR="008B5BEC" w:rsidRDefault="008B5BEC" w:rsidP="008B5BEC">
            <w:pPr>
              <w:pStyle w:val="RepTable"/>
            </w:pPr>
            <w:r>
              <w:t xml:space="preserve">Blood levels following single oral administration of 500 mg/kg body weight to male and female rats 14C-Hoe </w:t>
            </w:r>
          </w:p>
          <w:p w:rsidR="008B5BEC" w:rsidRDefault="008B5BEC" w:rsidP="008B5BEC">
            <w:pPr>
              <w:pStyle w:val="RepTable"/>
            </w:pPr>
            <w:r>
              <w:t xml:space="preserve">115008 xxxxxxxxxxx, Report No.: A56258, Edition Number: M-140089-01-1, EPA MRID No.: 45108728 </w:t>
            </w:r>
          </w:p>
          <w:p w:rsidR="00CD32BF" w:rsidRDefault="00CD32BF" w:rsidP="008B5BEC">
            <w:pPr>
              <w:pStyle w:val="RepTable"/>
            </w:pPr>
            <w:r w:rsidRPr="00CD32BF">
              <w:t>Date: 1996-01-29</w:t>
            </w:r>
          </w:p>
          <w:p w:rsidR="00FE6385" w:rsidRPr="00FE6385" w:rsidRDefault="00FE6385" w:rsidP="00FE6385">
            <w:pPr>
              <w:pStyle w:val="RepTable"/>
            </w:pPr>
            <w:r w:rsidRPr="00FE6385">
              <w:t>GLP/GEP: Yes</w:t>
            </w:r>
          </w:p>
          <w:p w:rsidR="008B5BEC" w:rsidRPr="00B27D39" w:rsidRDefault="00FE6385" w:rsidP="00FE6385">
            <w:pPr>
              <w:pStyle w:val="RepTable"/>
            </w:pPr>
            <w:r w:rsidRPr="00FE6385">
              <w:rPr>
                <w:lang w:val="en-US"/>
              </w:rPr>
              <w:t>Unpublished</w:t>
            </w:r>
          </w:p>
        </w:tc>
        <w:tc>
          <w:tcPr>
            <w:tcW w:w="360" w:type="pct"/>
          </w:tcPr>
          <w:p w:rsidR="008B5BEC" w:rsidRPr="00B27D39" w:rsidRDefault="008B5BEC" w:rsidP="008B5BEC">
            <w:pPr>
              <w:pStyle w:val="RepTable"/>
              <w:jc w:val="center"/>
            </w:pPr>
            <w:r w:rsidRPr="001C541A">
              <w:t xml:space="preserve">Y </w:t>
            </w:r>
          </w:p>
        </w:tc>
        <w:tc>
          <w:tcPr>
            <w:tcW w:w="439" w:type="pct"/>
          </w:tcPr>
          <w:p w:rsidR="008B5BEC" w:rsidRPr="00B27D39" w:rsidRDefault="008B5BEC" w:rsidP="008B5BEC">
            <w:pPr>
              <w:pStyle w:val="RepTable"/>
              <w:jc w:val="center"/>
            </w:pPr>
            <w:r w:rsidRPr="001C541A">
              <w:t xml:space="preserve">Bayer CropScience </w:t>
            </w:r>
          </w:p>
        </w:tc>
      </w:tr>
      <w:tr w:rsidR="008B5BEC" w:rsidRPr="00B27D39" w:rsidTr="00195EDC">
        <w:tc>
          <w:tcPr>
            <w:tcW w:w="347" w:type="pct"/>
          </w:tcPr>
          <w:p w:rsidR="008B5BEC" w:rsidRDefault="008B5BEC" w:rsidP="008B5BEC">
            <w:pPr>
              <w:pStyle w:val="RepTable"/>
            </w:pPr>
            <w:r>
              <w:t xml:space="preserve">KCA </w:t>
            </w:r>
          </w:p>
          <w:p w:rsidR="008B5BEC" w:rsidRPr="00B27D39" w:rsidRDefault="008B5BEC" w:rsidP="008B5BEC">
            <w:pPr>
              <w:pStyle w:val="RepTable"/>
            </w:pPr>
            <w:r>
              <w:t>5.1.1/04</w:t>
            </w:r>
          </w:p>
        </w:tc>
        <w:tc>
          <w:tcPr>
            <w:tcW w:w="636" w:type="pct"/>
          </w:tcPr>
          <w:p w:rsidR="008B5BEC" w:rsidRPr="00FF3C47" w:rsidRDefault="000F03B2" w:rsidP="008B5BEC">
            <w:pPr>
              <w:pStyle w:val="RepTable"/>
              <w:rPr>
                <w:highlight w:val="black"/>
              </w:rPr>
            </w:pPr>
            <w:r w:rsidRPr="00FF3C47">
              <w:rPr>
                <w:noProof w:val="0"/>
                <w:color w:val="000000"/>
                <w:kern w:val="2"/>
                <w:highlight w:val="black"/>
                <w:lang w:val="en-IE" w:eastAsia="en-IE"/>
              </w:rPr>
              <w:t>Anon</w:t>
            </w:r>
          </w:p>
        </w:tc>
        <w:tc>
          <w:tcPr>
            <w:tcW w:w="270" w:type="pct"/>
          </w:tcPr>
          <w:p w:rsidR="008B5BEC" w:rsidRPr="00FF3C47" w:rsidRDefault="008B5BEC" w:rsidP="008B5BEC">
            <w:pPr>
              <w:pStyle w:val="RepTable"/>
              <w:jc w:val="center"/>
              <w:rPr>
                <w:highlight w:val="black"/>
              </w:rPr>
            </w:pPr>
            <w:r w:rsidRPr="00FF3C47">
              <w:rPr>
                <w:highlight w:val="black"/>
              </w:rPr>
              <w:t>1998</w:t>
            </w:r>
          </w:p>
        </w:tc>
        <w:tc>
          <w:tcPr>
            <w:tcW w:w="2948" w:type="pct"/>
          </w:tcPr>
          <w:p w:rsidR="008B5BEC" w:rsidRDefault="008B5BEC" w:rsidP="008B5BEC">
            <w:pPr>
              <w:pStyle w:val="RepTable"/>
            </w:pPr>
            <w:r>
              <w:t xml:space="preserve">Metabolism - rat, oral high dose (500 mg/kg body weight) 2-14C-triazinyl Code: Hoe 115008 xxxxxxxxxxxx </w:t>
            </w:r>
          </w:p>
          <w:p w:rsidR="008B5BEC" w:rsidRDefault="008B5BEC" w:rsidP="008B5BEC">
            <w:pPr>
              <w:pStyle w:val="RepTable"/>
            </w:pPr>
            <w:r>
              <w:t xml:space="preserve">Report No.: A57609, Edition Number: M-141310-01-1, EPA MRID No.: 45108729 </w:t>
            </w:r>
          </w:p>
          <w:p w:rsidR="00CD32BF" w:rsidRDefault="00CD32BF" w:rsidP="008B5BEC">
            <w:pPr>
              <w:pStyle w:val="RepTable"/>
            </w:pPr>
            <w:r w:rsidRPr="00CD32BF">
              <w:t xml:space="preserve">Date: 1998-01-23 </w:t>
            </w:r>
          </w:p>
          <w:p w:rsidR="00FE6385" w:rsidRPr="00FE6385" w:rsidRDefault="00FE6385" w:rsidP="00FE6385">
            <w:pPr>
              <w:pStyle w:val="RepTable"/>
            </w:pPr>
            <w:r w:rsidRPr="00FE6385">
              <w:t>GLP/GEP: Yes</w:t>
            </w:r>
          </w:p>
          <w:p w:rsidR="008B5BEC" w:rsidRPr="00B27D39" w:rsidRDefault="00FE6385" w:rsidP="00FE6385">
            <w:pPr>
              <w:pStyle w:val="RepTable"/>
            </w:pPr>
            <w:r w:rsidRPr="00FE6385">
              <w:rPr>
                <w:lang w:val="en-US"/>
              </w:rPr>
              <w:t>Unpublished</w:t>
            </w:r>
          </w:p>
        </w:tc>
        <w:tc>
          <w:tcPr>
            <w:tcW w:w="360" w:type="pct"/>
          </w:tcPr>
          <w:p w:rsidR="008B5BEC" w:rsidRPr="00B27D39" w:rsidRDefault="008B5BEC" w:rsidP="008B5BEC">
            <w:pPr>
              <w:pStyle w:val="RepTable"/>
              <w:jc w:val="center"/>
            </w:pPr>
            <w:r w:rsidRPr="0093091F">
              <w:t xml:space="preserve">Y </w:t>
            </w:r>
          </w:p>
        </w:tc>
        <w:tc>
          <w:tcPr>
            <w:tcW w:w="439" w:type="pct"/>
          </w:tcPr>
          <w:p w:rsidR="008B5BEC" w:rsidRPr="00B27D39" w:rsidRDefault="008B5BEC" w:rsidP="008B5BEC">
            <w:pPr>
              <w:pStyle w:val="RepTable"/>
              <w:jc w:val="center"/>
            </w:pPr>
            <w:r w:rsidRPr="0093091F">
              <w:t xml:space="preserve">Bayer CropScience </w:t>
            </w:r>
          </w:p>
        </w:tc>
      </w:tr>
      <w:tr w:rsidR="008B5BEC" w:rsidRPr="00B27D39" w:rsidTr="00195EDC">
        <w:tc>
          <w:tcPr>
            <w:tcW w:w="347" w:type="pct"/>
          </w:tcPr>
          <w:p w:rsidR="008B5BEC" w:rsidRDefault="008B5BEC" w:rsidP="008B5BEC">
            <w:pPr>
              <w:pStyle w:val="RepTable"/>
            </w:pPr>
            <w:bookmarkStart w:id="561" w:name="_Hlk149822061"/>
            <w:r>
              <w:t xml:space="preserve">KCA </w:t>
            </w:r>
          </w:p>
          <w:p w:rsidR="008B5BEC" w:rsidRPr="00B27D39" w:rsidRDefault="008B5BEC" w:rsidP="008B5BEC">
            <w:pPr>
              <w:pStyle w:val="RepTable"/>
            </w:pPr>
            <w:r>
              <w:t>5.1.1/05</w:t>
            </w:r>
          </w:p>
        </w:tc>
        <w:tc>
          <w:tcPr>
            <w:tcW w:w="636" w:type="pct"/>
          </w:tcPr>
          <w:p w:rsidR="008B5BEC" w:rsidRPr="00FF3C47" w:rsidRDefault="000F03B2" w:rsidP="008B5BEC">
            <w:pPr>
              <w:pStyle w:val="RepTable"/>
              <w:rPr>
                <w:highlight w:val="black"/>
              </w:rPr>
            </w:pPr>
            <w:r w:rsidRPr="00FF3C47">
              <w:rPr>
                <w:noProof w:val="0"/>
                <w:color w:val="000000"/>
                <w:kern w:val="2"/>
                <w:highlight w:val="black"/>
                <w:lang w:val="en-IE" w:eastAsia="en-IE"/>
              </w:rPr>
              <w:t>Anon</w:t>
            </w:r>
          </w:p>
        </w:tc>
        <w:tc>
          <w:tcPr>
            <w:tcW w:w="270" w:type="pct"/>
          </w:tcPr>
          <w:p w:rsidR="008B5BEC" w:rsidRPr="00FF3C47" w:rsidRDefault="008B5BEC" w:rsidP="008B5BEC">
            <w:pPr>
              <w:pStyle w:val="RepTable"/>
              <w:jc w:val="center"/>
              <w:rPr>
                <w:highlight w:val="black"/>
              </w:rPr>
            </w:pPr>
            <w:r w:rsidRPr="00FF3C47">
              <w:rPr>
                <w:highlight w:val="black"/>
              </w:rPr>
              <w:t>1997</w:t>
            </w:r>
          </w:p>
        </w:tc>
        <w:tc>
          <w:tcPr>
            <w:tcW w:w="2948" w:type="pct"/>
          </w:tcPr>
          <w:p w:rsidR="008B5BEC" w:rsidRDefault="008B5BEC" w:rsidP="008B5BEC">
            <w:pPr>
              <w:pStyle w:val="RepTable"/>
            </w:pPr>
            <w:r>
              <w:t xml:space="preserve">Metabolism - rat, oral high dose (500 mg/kg body weight) U-14C-phenyl Code: Hoe 115008 xxxxxxxxxxxxxxx </w:t>
            </w:r>
          </w:p>
          <w:p w:rsidR="00CD32BF" w:rsidRDefault="008B5BEC" w:rsidP="008B5BEC">
            <w:pPr>
              <w:pStyle w:val="RepTable"/>
            </w:pPr>
            <w:r>
              <w:t>Report No.: A57610, Edition Number: M-141311-01-1, EPA MRID No.: 45108731</w:t>
            </w:r>
          </w:p>
          <w:p w:rsidR="008B5BEC" w:rsidRDefault="00CD32BF" w:rsidP="008B5BEC">
            <w:pPr>
              <w:pStyle w:val="RepTable"/>
            </w:pPr>
            <w:r w:rsidRPr="00CD32BF">
              <w:t>Date: 1997-03-19</w:t>
            </w:r>
          </w:p>
          <w:p w:rsidR="00FE6385" w:rsidRPr="00FE6385" w:rsidRDefault="00FE6385" w:rsidP="00FE6385">
            <w:pPr>
              <w:pStyle w:val="RepTable"/>
            </w:pPr>
            <w:r w:rsidRPr="00FE6385">
              <w:t>GLP/GEP: Yes</w:t>
            </w:r>
          </w:p>
          <w:p w:rsidR="008B5BEC" w:rsidRPr="00B27D39" w:rsidRDefault="00FE6385" w:rsidP="00FE6385">
            <w:pPr>
              <w:pStyle w:val="RepTable"/>
            </w:pPr>
            <w:r w:rsidRPr="00FE6385">
              <w:rPr>
                <w:lang w:val="en-US"/>
              </w:rPr>
              <w:t>Unpublished</w:t>
            </w:r>
          </w:p>
        </w:tc>
        <w:tc>
          <w:tcPr>
            <w:tcW w:w="360" w:type="pct"/>
          </w:tcPr>
          <w:p w:rsidR="008B5BEC" w:rsidRPr="00B27D39" w:rsidRDefault="008B5BEC" w:rsidP="008B5BEC">
            <w:pPr>
              <w:pStyle w:val="RepTable"/>
              <w:jc w:val="center"/>
            </w:pPr>
            <w:r w:rsidRPr="0051763C">
              <w:t xml:space="preserve">Y </w:t>
            </w:r>
          </w:p>
        </w:tc>
        <w:tc>
          <w:tcPr>
            <w:tcW w:w="439" w:type="pct"/>
          </w:tcPr>
          <w:p w:rsidR="008B5BEC" w:rsidRPr="00B27D39" w:rsidRDefault="008B5BEC" w:rsidP="008B5BEC">
            <w:pPr>
              <w:pStyle w:val="RepTable"/>
              <w:jc w:val="center"/>
            </w:pPr>
            <w:r w:rsidRPr="0051763C">
              <w:t xml:space="preserve">Bayer CropScience </w:t>
            </w:r>
          </w:p>
        </w:tc>
      </w:tr>
      <w:tr w:rsidR="008B5BEC" w:rsidRPr="00B27D39" w:rsidTr="00195EDC">
        <w:tc>
          <w:tcPr>
            <w:tcW w:w="347" w:type="pct"/>
          </w:tcPr>
          <w:p w:rsidR="008B5BEC" w:rsidRDefault="008B5BEC" w:rsidP="008B5BEC">
            <w:pPr>
              <w:pStyle w:val="RepTable"/>
            </w:pPr>
            <w:r>
              <w:lastRenderedPageBreak/>
              <w:t xml:space="preserve">KCA </w:t>
            </w:r>
          </w:p>
          <w:p w:rsidR="008B5BEC" w:rsidRPr="00B27D39" w:rsidRDefault="008B5BEC" w:rsidP="008B5BEC">
            <w:pPr>
              <w:pStyle w:val="RepTable"/>
            </w:pPr>
            <w:r>
              <w:t>5.1.1/06</w:t>
            </w:r>
          </w:p>
        </w:tc>
        <w:tc>
          <w:tcPr>
            <w:tcW w:w="636" w:type="pct"/>
          </w:tcPr>
          <w:p w:rsidR="008B5BEC" w:rsidRPr="00FF3C47" w:rsidRDefault="000F03B2" w:rsidP="008B5BEC">
            <w:pPr>
              <w:pStyle w:val="RepTable"/>
              <w:rPr>
                <w:highlight w:val="black"/>
              </w:rPr>
            </w:pPr>
            <w:r w:rsidRPr="00FF3C47">
              <w:rPr>
                <w:noProof w:val="0"/>
                <w:color w:val="000000"/>
                <w:kern w:val="2"/>
                <w:highlight w:val="black"/>
                <w:lang w:val="en-IE" w:eastAsia="en-IE"/>
              </w:rPr>
              <w:t>Anon</w:t>
            </w:r>
          </w:p>
        </w:tc>
        <w:tc>
          <w:tcPr>
            <w:tcW w:w="270" w:type="pct"/>
          </w:tcPr>
          <w:p w:rsidR="008B5BEC" w:rsidRPr="00FF3C47" w:rsidRDefault="008B5BEC" w:rsidP="008B5BEC">
            <w:pPr>
              <w:pStyle w:val="RepTable"/>
              <w:jc w:val="center"/>
              <w:rPr>
                <w:highlight w:val="black"/>
              </w:rPr>
            </w:pPr>
            <w:r w:rsidRPr="00FF3C47">
              <w:rPr>
                <w:highlight w:val="black"/>
              </w:rPr>
              <w:t>1996</w:t>
            </w:r>
          </w:p>
        </w:tc>
        <w:tc>
          <w:tcPr>
            <w:tcW w:w="2948" w:type="pct"/>
          </w:tcPr>
          <w:p w:rsidR="008B5BEC" w:rsidRDefault="008B5BEC" w:rsidP="008B5BEC">
            <w:pPr>
              <w:pStyle w:val="RepTable"/>
            </w:pPr>
            <w:r>
              <w:t xml:space="preserve">Absorption, distribution and elimination - rat, oral low dose (10 mg/kg body weight) Triazinyl-2-14C Code: Hoe 115008 xxxxxxxxxxxxx, </w:t>
            </w:r>
          </w:p>
          <w:p w:rsidR="008B5BEC" w:rsidRDefault="008B5BEC" w:rsidP="008B5BEC">
            <w:pPr>
              <w:pStyle w:val="RepTable"/>
            </w:pPr>
            <w:r>
              <w:t xml:space="preserve">Report No.: A57608, Edition Number: M-141309-01-1,  EPA MRID No.: 45108732 </w:t>
            </w:r>
          </w:p>
          <w:p w:rsidR="00CD32BF" w:rsidRDefault="00CD32BF" w:rsidP="008B5BEC">
            <w:pPr>
              <w:pStyle w:val="RepTable"/>
            </w:pPr>
            <w:r w:rsidRPr="00CD32BF">
              <w:t xml:space="preserve">Date: 1996-12-05 </w:t>
            </w:r>
          </w:p>
          <w:p w:rsidR="00FE6385" w:rsidRPr="00FE6385" w:rsidRDefault="00FE6385" w:rsidP="00FE6385">
            <w:pPr>
              <w:pStyle w:val="RepTable"/>
            </w:pPr>
            <w:r w:rsidRPr="00FE6385">
              <w:t>GLP/GEP: Yes</w:t>
            </w:r>
          </w:p>
          <w:p w:rsidR="008B5BEC" w:rsidRPr="00B27D39" w:rsidRDefault="00FE6385" w:rsidP="00FE6385">
            <w:pPr>
              <w:pStyle w:val="RepTable"/>
            </w:pPr>
            <w:r w:rsidRPr="00FE6385">
              <w:rPr>
                <w:lang w:val="en-US"/>
              </w:rPr>
              <w:t>Unpublished</w:t>
            </w:r>
          </w:p>
        </w:tc>
        <w:tc>
          <w:tcPr>
            <w:tcW w:w="360" w:type="pct"/>
          </w:tcPr>
          <w:p w:rsidR="008B5BEC" w:rsidRPr="00B27D39" w:rsidRDefault="008B5BEC" w:rsidP="008B5BEC">
            <w:pPr>
              <w:pStyle w:val="RepTable"/>
              <w:jc w:val="center"/>
            </w:pPr>
            <w:r w:rsidRPr="00730697">
              <w:t xml:space="preserve">Y </w:t>
            </w:r>
          </w:p>
        </w:tc>
        <w:tc>
          <w:tcPr>
            <w:tcW w:w="439" w:type="pct"/>
          </w:tcPr>
          <w:p w:rsidR="008B5BEC" w:rsidRPr="00B27D39" w:rsidRDefault="008B5BEC" w:rsidP="008B5BEC">
            <w:pPr>
              <w:pStyle w:val="RepTable"/>
              <w:jc w:val="center"/>
            </w:pPr>
            <w:r w:rsidRPr="00730697">
              <w:t xml:space="preserve">Bayer CropScience </w:t>
            </w:r>
          </w:p>
        </w:tc>
      </w:tr>
      <w:tr w:rsidR="00F35621" w:rsidRPr="00B27D39" w:rsidTr="00195EDC">
        <w:tc>
          <w:tcPr>
            <w:tcW w:w="347" w:type="pct"/>
          </w:tcPr>
          <w:p w:rsidR="00F35621" w:rsidRDefault="00F35621" w:rsidP="00F35621">
            <w:pPr>
              <w:pStyle w:val="RepTable"/>
            </w:pPr>
            <w:r>
              <w:t xml:space="preserve">KCA </w:t>
            </w:r>
          </w:p>
          <w:p w:rsidR="00F35621" w:rsidRPr="00B27D39" w:rsidRDefault="00F35621" w:rsidP="00F35621">
            <w:pPr>
              <w:pStyle w:val="RepTable"/>
            </w:pPr>
            <w:r>
              <w:t>5.1.1/07</w:t>
            </w:r>
          </w:p>
        </w:tc>
        <w:tc>
          <w:tcPr>
            <w:tcW w:w="636" w:type="pct"/>
          </w:tcPr>
          <w:p w:rsidR="00F35621" w:rsidRPr="00FF3C47" w:rsidRDefault="000F03B2" w:rsidP="00F35621">
            <w:pPr>
              <w:pStyle w:val="RepTable"/>
              <w:rPr>
                <w:highlight w:val="black"/>
              </w:rPr>
            </w:pPr>
            <w:r w:rsidRPr="00FF3C47">
              <w:rPr>
                <w:noProof w:val="0"/>
                <w:color w:val="000000"/>
                <w:kern w:val="2"/>
                <w:highlight w:val="black"/>
                <w:lang w:val="en-IE" w:eastAsia="en-IE"/>
              </w:rPr>
              <w:t>Anon</w:t>
            </w:r>
          </w:p>
        </w:tc>
        <w:tc>
          <w:tcPr>
            <w:tcW w:w="270" w:type="pct"/>
          </w:tcPr>
          <w:p w:rsidR="00F35621" w:rsidRPr="00FF3C47" w:rsidRDefault="00F35621" w:rsidP="00F35621">
            <w:pPr>
              <w:pStyle w:val="RepTable"/>
              <w:jc w:val="center"/>
              <w:rPr>
                <w:highlight w:val="black"/>
              </w:rPr>
            </w:pPr>
            <w:r w:rsidRPr="00FF3C47">
              <w:rPr>
                <w:highlight w:val="black"/>
              </w:rPr>
              <w:t>1996</w:t>
            </w:r>
          </w:p>
        </w:tc>
        <w:tc>
          <w:tcPr>
            <w:tcW w:w="2948" w:type="pct"/>
          </w:tcPr>
          <w:p w:rsidR="00F35621" w:rsidRDefault="00F35621" w:rsidP="00F35621">
            <w:pPr>
              <w:pStyle w:val="RepTable"/>
            </w:pPr>
            <w:r>
              <w:t xml:space="preserve">Blood levels following single oral and intravenous administration of 10 mg/kg body weight to male and female rats 14C-Hoe 115008 xxxxxxxxxxxxx </w:t>
            </w:r>
          </w:p>
          <w:p w:rsidR="00F35621" w:rsidRDefault="00F35621" w:rsidP="00F35621">
            <w:pPr>
              <w:pStyle w:val="RepTable"/>
            </w:pPr>
            <w:r>
              <w:t xml:space="preserve">Report No.: A58313, Edition Number: M-142005-01-1, EPA MRID No.: 45108733 </w:t>
            </w:r>
          </w:p>
          <w:p w:rsidR="00CD32BF" w:rsidRDefault="00CD32BF" w:rsidP="00F35621">
            <w:pPr>
              <w:pStyle w:val="RepTable"/>
            </w:pPr>
            <w:r w:rsidRPr="00CD32BF">
              <w:t xml:space="preserve">Date: 1996-08-20 </w:t>
            </w:r>
          </w:p>
          <w:p w:rsidR="00FE6385" w:rsidRPr="00FE6385" w:rsidRDefault="00FE6385" w:rsidP="00FE6385">
            <w:pPr>
              <w:pStyle w:val="RepTable"/>
            </w:pPr>
            <w:r w:rsidRPr="00FE6385">
              <w:t>GLP/GEP: Yes</w:t>
            </w:r>
          </w:p>
          <w:p w:rsidR="00F35621" w:rsidRPr="00B27D39" w:rsidRDefault="00FE6385" w:rsidP="00FE6385">
            <w:pPr>
              <w:pStyle w:val="RepTable"/>
            </w:pPr>
            <w:r w:rsidRPr="00FE6385">
              <w:rPr>
                <w:lang w:val="en-US"/>
              </w:rPr>
              <w:t>Unpublished</w:t>
            </w:r>
          </w:p>
        </w:tc>
        <w:tc>
          <w:tcPr>
            <w:tcW w:w="360" w:type="pct"/>
          </w:tcPr>
          <w:p w:rsidR="00F35621" w:rsidRPr="00B27D39" w:rsidRDefault="00F35621" w:rsidP="00F35621">
            <w:pPr>
              <w:pStyle w:val="RepTable"/>
              <w:jc w:val="center"/>
            </w:pPr>
            <w:r w:rsidRPr="006A1B8E">
              <w:t xml:space="preserve">Y </w:t>
            </w:r>
          </w:p>
        </w:tc>
        <w:tc>
          <w:tcPr>
            <w:tcW w:w="439" w:type="pct"/>
          </w:tcPr>
          <w:p w:rsidR="00F35621" w:rsidRPr="00B27D39" w:rsidRDefault="00F35621" w:rsidP="00F35621">
            <w:pPr>
              <w:pStyle w:val="RepTable"/>
              <w:jc w:val="center"/>
            </w:pPr>
            <w:r w:rsidRPr="006A1B8E">
              <w:t xml:space="preserve">Bayer CropScience </w:t>
            </w:r>
          </w:p>
        </w:tc>
      </w:tr>
      <w:tr w:rsidR="00F35621" w:rsidRPr="00B27D39" w:rsidTr="00195EDC">
        <w:tc>
          <w:tcPr>
            <w:tcW w:w="347" w:type="pct"/>
          </w:tcPr>
          <w:p w:rsidR="00F35621" w:rsidRDefault="00F35621" w:rsidP="00F35621">
            <w:pPr>
              <w:pStyle w:val="RepTable"/>
            </w:pPr>
            <w:r>
              <w:t xml:space="preserve">KCA </w:t>
            </w:r>
          </w:p>
          <w:p w:rsidR="00F35621" w:rsidRPr="00B27D39" w:rsidRDefault="00F35621" w:rsidP="00F35621">
            <w:pPr>
              <w:pStyle w:val="RepTable"/>
            </w:pPr>
            <w:r>
              <w:t>5.1.1/08</w:t>
            </w:r>
          </w:p>
        </w:tc>
        <w:tc>
          <w:tcPr>
            <w:tcW w:w="636" w:type="pct"/>
          </w:tcPr>
          <w:p w:rsidR="00F35621" w:rsidRPr="00FF3C47" w:rsidRDefault="000F03B2" w:rsidP="00F35621">
            <w:pPr>
              <w:pStyle w:val="RepTable"/>
              <w:rPr>
                <w:highlight w:val="black"/>
              </w:rPr>
            </w:pPr>
            <w:r w:rsidRPr="00FF3C47">
              <w:rPr>
                <w:noProof w:val="0"/>
                <w:color w:val="000000"/>
                <w:kern w:val="2"/>
                <w:highlight w:val="black"/>
                <w:lang w:val="en-IE" w:eastAsia="en-IE"/>
              </w:rPr>
              <w:t>Anon</w:t>
            </w:r>
          </w:p>
        </w:tc>
        <w:tc>
          <w:tcPr>
            <w:tcW w:w="270" w:type="pct"/>
          </w:tcPr>
          <w:p w:rsidR="00F35621" w:rsidRPr="00FF3C47" w:rsidRDefault="00F35621" w:rsidP="00F35621">
            <w:pPr>
              <w:pStyle w:val="RepTable"/>
              <w:jc w:val="center"/>
              <w:rPr>
                <w:highlight w:val="black"/>
              </w:rPr>
            </w:pPr>
            <w:r w:rsidRPr="00FF3C47">
              <w:rPr>
                <w:highlight w:val="black"/>
              </w:rPr>
              <w:t>1997</w:t>
            </w:r>
          </w:p>
        </w:tc>
        <w:tc>
          <w:tcPr>
            <w:tcW w:w="2948" w:type="pct"/>
          </w:tcPr>
          <w:p w:rsidR="00F35621" w:rsidRDefault="00F35621" w:rsidP="00F35621">
            <w:pPr>
              <w:pStyle w:val="RepTable"/>
            </w:pPr>
            <w:r>
              <w:t xml:space="preserve">Metabolism - rat, oral low dose (10 mg/kg body weight) 2-14C-triazinyl Code: Hoe 115008 xxxxxxxxxxxxx </w:t>
            </w:r>
          </w:p>
          <w:p w:rsidR="00F35621" w:rsidRDefault="00F35621" w:rsidP="00F35621">
            <w:pPr>
              <w:pStyle w:val="RepTable"/>
            </w:pPr>
            <w:r>
              <w:t xml:space="preserve">Report No.: A57611, Edition Number: M-141312-01-1, EPA MRID No.: 45108801 </w:t>
            </w:r>
          </w:p>
          <w:p w:rsidR="00CD32BF" w:rsidRDefault="00CD32BF" w:rsidP="00F35621">
            <w:pPr>
              <w:pStyle w:val="RepTable"/>
            </w:pPr>
            <w:r w:rsidRPr="00CD32BF">
              <w:t xml:space="preserve">Date: 1997-05-06 </w:t>
            </w:r>
          </w:p>
          <w:p w:rsidR="00FE6385" w:rsidRPr="00FE6385" w:rsidRDefault="00FE6385" w:rsidP="00FE6385">
            <w:pPr>
              <w:pStyle w:val="RepTable"/>
            </w:pPr>
            <w:r w:rsidRPr="00FE6385">
              <w:t>GLP/GEP: Yes</w:t>
            </w:r>
          </w:p>
          <w:p w:rsidR="00F35621" w:rsidRPr="00B27D39" w:rsidRDefault="00FE6385" w:rsidP="00FE6385">
            <w:pPr>
              <w:pStyle w:val="RepTable"/>
            </w:pPr>
            <w:r w:rsidRPr="00FE6385">
              <w:rPr>
                <w:lang w:val="en-US"/>
              </w:rPr>
              <w:t>Unpublished</w:t>
            </w:r>
          </w:p>
        </w:tc>
        <w:tc>
          <w:tcPr>
            <w:tcW w:w="360" w:type="pct"/>
          </w:tcPr>
          <w:p w:rsidR="00F35621" w:rsidRPr="00B27D39" w:rsidRDefault="00F35621" w:rsidP="00F35621">
            <w:pPr>
              <w:pStyle w:val="RepTable"/>
              <w:jc w:val="center"/>
            </w:pPr>
            <w:r w:rsidRPr="00B03901">
              <w:t xml:space="preserve">Y </w:t>
            </w:r>
          </w:p>
        </w:tc>
        <w:tc>
          <w:tcPr>
            <w:tcW w:w="439" w:type="pct"/>
          </w:tcPr>
          <w:p w:rsidR="00F35621" w:rsidRPr="00B27D39" w:rsidRDefault="00F35621" w:rsidP="00F35621">
            <w:pPr>
              <w:pStyle w:val="RepTable"/>
              <w:jc w:val="center"/>
            </w:pPr>
            <w:r w:rsidRPr="00B03901">
              <w:t xml:space="preserve">Bayer CropScience </w:t>
            </w:r>
          </w:p>
        </w:tc>
      </w:tr>
      <w:tr w:rsidR="00F35621" w:rsidRPr="00B27D39" w:rsidTr="00195EDC">
        <w:tc>
          <w:tcPr>
            <w:tcW w:w="347" w:type="pct"/>
          </w:tcPr>
          <w:p w:rsidR="00F35621" w:rsidRDefault="00F35621" w:rsidP="00F35621">
            <w:pPr>
              <w:pStyle w:val="RepTable"/>
            </w:pPr>
            <w:r>
              <w:t xml:space="preserve">KCA </w:t>
            </w:r>
          </w:p>
          <w:p w:rsidR="00F35621" w:rsidRPr="00B27D39" w:rsidRDefault="00F35621" w:rsidP="00F35621">
            <w:pPr>
              <w:pStyle w:val="RepTable"/>
            </w:pPr>
            <w:r>
              <w:t>5.1.1/09</w:t>
            </w:r>
          </w:p>
        </w:tc>
        <w:tc>
          <w:tcPr>
            <w:tcW w:w="636" w:type="pct"/>
          </w:tcPr>
          <w:p w:rsidR="00F35621" w:rsidRPr="00FF3C47" w:rsidRDefault="000F03B2" w:rsidP="00F35621">
            <w:pPr>
              <w:pStyle w:val="RepTable"/>
              <w:rPr>
                <w:highlight w:val="black"/>
              </w:rPr>
            </w:pPr>
            <w:r w:rsidRPr="00FF3C47">
              <w:rPr>
                <w:noProof w:val="0"/>
                <w:color w:val="000000"/>
                <w:kern w:val="2"/>
                <w:highlight w:val="black"/>
                <w:lang w:val="en-IE" w:eastAsia="en-IE"/>
              </w:rPr>
              <w:t>Anon</w:t>
            </w:r>
          </w:p>
        </w:tc>
        <w:tc>
          <w:tcPr>
            <w:tcW w:w="270" w:type="pct"/>
          </w:tcPr>
          <w:p w:rsidR="00F35621" w:rsidRPr="00FF3C47" w:rsidRDefault="00F35621" w:rsidP="00F35621">
            <w:pPr>
              <w:pStyle w:val="RepTable"/>
              <w:jc w:val="center"/>
              <w:rPr>
                <w:highlight w:val="black"/>
              </w:rPr>
            </w:pPr>
            <w:r w:rsidRPr="00FF3C47">
              <w:rPr>
                <w:highlight w:val="black"/>
              </w:rPr>
              <w:t>1998</w:t>
            </w:r>
          </w:p>
        </w:tc>
        <w:tc>
          <w:tcPr>
            <w:tcW w:w="2948" w:type="pct"/>
          </w:tcPr>
          <w:p w:rsidR="00F35621" w:rsidRDefault="00F35621" w:rsidP="00F35621">
            <w:pPr>
              <w:pStyle w:val="RepTable"/>
            </w:pPr>
            <w:r>
              <w:t xml:space="preserve">Dog absorption, distribution, elimination - oral low (6 mg/kg b.w.) and high (200 mg/kg b.w.) dose (Phenyl-U-14C)AE F115008 xxxxxxxxxxxxxxx, </w:t>
            </w:r>
          </w:p>
          <w:p w:rsidR="00F35621" w:rsidRDefault="00F35621" w:rsidP="00F35621">
            <w:pPr>
              <w:pStyle w:val="RepTable"/>
            </w:pPr>
            <w:r>
              <w:t xml:space="preserve">Report No.: C000382, Edition Number: M-180570-01-1 </w:t>
            </w:r>
          </w:p>
          <w:p w:rsidR="00CD32BF" w:rsidRDefault="00CD32BF" w:rsidP="00F35621">
            <w:pPr>
              <w:pStyle w:val="RepTable"/>
            </w:pPr>
            <w:r w:rsidRPr="00CD32BF">
              <w:t>Date: 1998-01-21</w:t>
            </w:r>
          </w:p>
          <w:p w:rsidR="00FE6385" w:rsidRPr="00FE6385" w:rsidRDefault="00FE6385" w:rsidP="00FE6385">
            <w:pPr>
              <w:pStyle w:val="RepTable"/>
            </w:pPr>
            <w:r w:rsidRPr="00FE6385">
              <w:t>GLP/GEP: Yes</w:t>
            </w:r>
          </w:p>
          <w:p w:rsidR="00F35621" w:rsidRPr="00B27D39" w:rsidRDefault="00FE6385" w:rsidP="00FE6385">
            <w:pPr>
              <w:pStyle w:val="RepTable"/>
            </w:pPr>
            <w:r w:rsidRPr="00FE6385">
              <w:rPr>
                <w:lang w:val="en-US"/>
              </w:rPr>
              <w:t>Unpublished</w:t>
            </w:r>
          </w:p>
        </w:tc>
        <w:tc>
          <w:tcPr>
            <w:tcW w:w="360" w:type="pct"/>
          </w:tcPr>
          <w:p w:rsidR="00F35621" w:rsidRPr="00B27D39" w:rsidRDefault="00F35621" w:rsidP="00F35621">
            <w:pPr>
              <w:pStyle w:val="RepTable"/>
              <w:jc w:val="center"/>
            </w:pPr>
            <w:r w:rsidRPr="00797D80">
              <w:t xml:space="preserve">Y </w:t>
            </w:r>
          </w:p>
        </w:tc>
        <w:tc>
          <w:tcPr>
            <w:tcW w:w="439" w:type="pct"/>
          </w:tcPr>
          <w:p w:rsidR="00F35621" w:rsidRPr="00B27D39" w:rsidRDefault="00F35621" w:rsidP="00F35621">
            <w:pPr>
              <w:pStyle w:val="RepTable"/>
              <w:jc w:val="center"/>
            </w:pPr>
            <w:r w:rsidRPr="00797D80">
              <w:t xml:space="preserve">Bayer CropScience </w:t>
            </w:r>
          </w:p>
        </w:tc>
      </w:tr>
      <w:tr w:rsidR="00CD32BF" w:rsidRPr="00B27D39" w:rsidTr="00195EDC">
        <w:tc>
          <w:tcPr>
            <w:tcW w:w="347" w:type="pct"/>
          </w:tcPr>
          <w:p w:rsidR="00CD32BF" w:rsidRDefault="00CD32BF" w:rsidP="00CD32BF">
            <w:pPr>
              <w:pStyle w:val="RepTable"/>
            </w:pPr>
            <w:r>
              <w:t xml:space="preserve">KCA </w:t>
            </w:r>
          </w:p>
          <w:p w:rsidR="00CD32BF" w:rsidRPr="00B27D39" w:rsidRDefault="00CD32BF" w:rsidP="00CD32BF">
            <w:pPr>
              <w:pStyle w:val="RepTable"/>
            </w:pPr>
            <w:r>
              <w:t>5.1.1/10</w:t>
            </w:r>
          </w:p>
        </w:tc>
        <w:tc>
          <w:tcPr>
            <w:tcW w:w="636" w:type="pct"/>
          </w:tcPr>
          <w:p w:rsidR="00CD32BF" w:rsidRPr="00FF3C47" w:rsidRDefault="000F03B2" w:rsidP="00CD32BF">
            <w:pPr>
              <w:pStyle w:val="RepTable"/>
              <w:rPr>
                <w:highlight w:val="black"/>
              </w:rPr>
            </w:pPr>
            <w:r w:rsidRPr="00FF3C47">
              <w:rPr>
                <w:noProof w:val="0"/>
                <w:color w:val="000000"/>
                <w:kern w:val="2"/>
                <w:highlight w:val="black"/>
                <w:lang w:val="en-IE" w:eastAsia="en-IE"/>
              </w:rPr>
              <w:t>Anon</w:t>
            </w:r>
          </w:p>
        </w:tc>
        <w:tc>
          <w:tcPr>
            <w:tcW w:w="270" w:type="pct"/>
          </w:tcPr>
          <w:p w:rsidR="00CD32BF" w:rsidRPr="00FF3C47" w:rsidRDefault="00CD32BF" w:rsidP="00CD32BF">
            <w:pPr>
              <w:pStyle w:val="RepTable"/>
              <w:jc w:val="center"/>
              <w:rPr>
                <w:highlight w:val="black"/>
              </w:rPr>
            </w:pPr>
            <w:r w:rsidRPr="00FF3C47">
              <w:rPr>
                <w:highlight w:val="black"/>
              </w:rPr>
              <w:t>1998</w:t>
            </w:r>
          </w:p>
        </w:tc>
        <w:tc>
          <w:tcPr>
            <w:tcW w:w="2948" w:type="pct"/>
          </w:tcPr>
          <w:p w:rsidR="00CD32BF" w:rsidRDefault="00CD32BF" w:rsidP="00CD32BF">
            <w:pPr>
              <w:pStyle w:val="RepTable"/>
            </w:pPr>
            <w:r>
              <w:t xml:space="preserve">Dog metabolism - oral high (200 mg/kg body weight) and low dose (6 mg/kg body weight) U-14C-phenyl-AE F115008 xxxxxxxxxxxxxxx </w:t>
            </w:r>
          </w:p>
          <w:p w:rsidR="00CD32BF" w:rsidRDefault="00CD32BF" w:rsidP="00CD32BF">
            <w:pPr>
              <w:pStyle w:val="RepTable"/>
            </w:pPr>
            <w:r>
              <w:t xml:space="preserve">Report No.: A67649, Edition Number: M-148018-01-1, EPA MRID No.: 45108804 </w:t>
            </w:r>
          </w:p>
          <w:p w:rsidR="00CD32BF" w:rsidRDefault="00CD32BF" w:rsidP="00CD32BF">
            <w:pPr>
              <w:pStyle w:val="RepTable"/>
            </w:pPr>
            <w:r>
              <w:t xml:space="preserve">Date: 1998-06-15 </w:t>
            </w:r>
          </w:p>
          <w:p w:rsidR="00CD32BF" w:rsidRPr="00B27D39" w:rsidRDefault="00CD32BF" w:rsidP="00CD32BF">
            <w:pPr>
              <w:pStyle w:val="RepTable"/>
            </w:pPr>
            <w:r>
              <w:t>GLP/GEP: yes Unpublished</w:t>
            </w:r>
          </w:p>
        </w:tc>
        <w:tc>
          <w:tcPr>
            <w:tcW w:w="360" w:type="pct"/>
          </w:tcPr>
          <w:p w:rsidR="00CD32BF" w:rsidRPr="00B27D39" w:rsidRDefault="00CD32BF" w:rsidP="00CD32BF">
            <w:pPr>
              <w:pStyle w:val="RepTable"/>
              <w:jc w:val="center"/>
            </w:pPr>
            <w:r w:rsidRPr="006F14AD">
              <w:t xml:space="preserve">Y </w:t>
            </w:r>
          </w:p>
        </w:tc>
        <w:tc>
          <w:tcPr>
            <w:tcW w:w="439" w:type="pct"/>
          </w:tcPr>
          <w:p w:rsidR="00CD32BF" w:rsidRPr="00B27D39" w:rsidRDefault="00CD32BF" w:rsidP="00CD32BF">
            <w:pPr>
              <w:pStyle w:val="RepTable"/>
              <w:jc w:val="center"/>
            </w:pPr>
            <w:r w:rsidRPr="006F14AD">
              <w:t xml:space="preserve">Bayer CropScience </w:t>
            </w:r>
          </w:p>
        </w:tc>
      </w:tr>
      <w:tr w:rsidR="00CD32BF" w:rsidRPr="00B27D39" w:rsidTr="00195EDC">
        <w:tc>
          <w:tcPr>
            <w:tcW w:w="347" w:type="pct"/>
          </w:tcPr>
          <w:p w:rsidR="00CD32BF" w:rsidRDefault="00CD32BF" w:rsidP="00CD32BF">
            <w:pPr>
              <w:pStyle w:val="RepTable"/>
            </w:pPr>
            <w:r>
              <w:t xml:space="preserve">KCA </w:t>
            </w:r>
          </w:p>
          <w:p w:rsidR="00CD32BF" w:rsidRPr="00B27D39" w:rsidRDefault="00CD32BF" w:rsidP="00CD32BF">
            <w:pPr>
              <w:pStyle w:val="RepTable"/>
            </w:pPr>
            <w:r>
              <w:t>5.1.1/11</w:t>
            </w:r>
          </w:p>
        </w:tc>
        <w:tc>
          <w:tcPr>
            <w:tcW w:w="636" w:type="pct"/>
          </w:tcPr>
          <w:p w:rsidR="00CD32BF" w:rsidRPr="00FF3C47" w:rsidRDefault="000F03B2" w:rsidP="00CD32BF">
            <w:pPr>
              <w:pStyle w:val="RepTable"/>
              <w:rPr>
                <w:highlight w:val="black"/>
              </w:rPr>
            </w:pPr>
            <w:r w:rsidRPr="00FF3C47">
              <w:rPr>
                <w:noProof w:val="0"/>
                <w:color w:val="000000"/>
                <w:kern w:val="2"/>
                <w:highlight w:val="black"/>
                <w:lang w:val="en-IE" w:eastAsia="en-IE"/>
              </w:rPr>
              <w:t>Anon</w:t>
            </w:r>
          </w:p>
        </w:tc>
        <w:tc>
          <w:tcPr>
            <w:tcW w:w="270" w:type="pct"/>
          </w:tcPr>
          <w:p w:rsidR="00CD32BF" w:rsidRPr="00FF3C47" w:rsidRDefault="00CD32BF" w:rsidP="00CD32BF">
            <w:pPr>
              <w:pStyle w:val="RepTable"/>
              <w:jc w:val="center"/>
              <w:rPr>
                <w:highlight w:val="black"/>
              </w:rPr>
            </w:pPr>
            <w:r w:rsidRPr="00FF3C47">
              <w:rPr>
                <w:highlight w:val="black"/>
              </w:rPr>
              <w:t>1998</w:t>
            </w:r>
          </w:p>
        </w:tc>
        <w:tc>
          <w:tcPr>
            <w:tcW w:w="2948" w:type="pct"/>
          </w:tcPr>
          <w:p w:rsidR="00CD32BF" w:rsidRDefault="00CD32BF" w:rsidP="00CD32BF">
            <w:pPr>
              <w:pStyle w:val="RepTable"/>
            </w:pPr>
            <w:r>
              <w:t xml:space="preserve">Rat absorption, distribution, elimination - repeated oral dose (7 x 100 mg/kg bw) (Phenyl-U-14C) Code: AE F115008 xxxxxxxxxxxxxxxxxx </w:t>
            </w:r>
          </w:p>
          <w:p w:rsidR="00CD32BF" w:rsidRDefault="00CD32BF" w:rsidP="00CD32BF">
            <w:pPr>
              <w:pStyle w:val="RepTable"/>
            </w:pPr>
            <w:r>
              <w:lastRenderedPageBreak/>
              <w:t xml:space="preserve">Report No.: C000383, Edition Number: M-180572-01-1, EPA MRID No.: 45108802 </w:t>
            </w:r>
          </w:p>
          <w:p w:rsidR="00CD32BF" w:rsidRDefault="00CD32BF" w:rsidP="00CD32BF">
            <w:pPr>
              <w:pStyle w:val="RepTable"/>
            </w:pPr>
            <w:r>
              <w:t xml:space="preserve">Date: 1998-03-27 </w:t>
            </w:r>
          </w:p>
          <w:p w:rsidR="00FE6385" w:rsidRPr="00FE6385" w:rsidRDefault="00FE6385" w:rsidP="00FE6385">
            <w:pPr>
              <w:pStyle w:val="RepTable"/>
            </w:pPr>
            <w:r w:rsidRPr="00FE6385">
              <w:t>GLP/GEP: Yes</w:t>
            </w:r>
          </w:p>
          <w:p w:rsidR="00CD32BF" w:rsidRPr="00B27D39" w:rsidRDefault="00FE6385" w:rsidP="00FE6385">
            <w:pPr>
              <w:pStyle w:val="RepTable"/>
            </w:pPr>
            <w:r w:rsidRPr="00FE6385">
              <w:rPr>
                <w:lang w:val="en-US"/>
              </w:rPr>
              <w:t>Unpublished</w:t>
            </w:r>
          </w:p>
        </w:tc>
        <w:tc>
          <w:tcPr>
            <w:tcW w:w="360" w:type="pct"/>
          </w:tcPr>
          <w:p w:rsidR="00CD32BF" w:rsidRPr="00B27D39" w:rsidRDefault="00CD32BF" w:rsidP="00CD32BF">
            <w:pPr>
              <w:pStyle w:val="RepTable"/>
              <w:jc w:val="center"/>
            </w:pPr>
            <w:r w:rsidRPr="00FA5508">
              <w:lastRenderedPageBreak/>
              <w:t xml:space="preserve">Y </w:t>
            </w:r>
          </w:p>
        </w:tc>
        <w:tc>
          <w:tcPr>
            <w:tcW w:w="439" w:type="pct"/>
          </w:tcPr>
          <w:p w:rsidR="00CD32BF" w:rsidRPr="00B27D39" w:rsidRDefault="00CD32BF" w:rsidP="00CD32BF">
            <w:pPr>
              <w:pStyle w:val="RepTable"/>
              <w:jc w:val="center"/>
            </w:pPr>
            <w:r w:rsidRPr="00FA5508">
              <w:t xml:space="preserve">Bayer CropScience </w:t>
            </w:r>
          </w:p>
        </w:tc>
      </w:tr>
      <w:tr w:rsidR="00187196" w:rsidRPr="00B27D39" w:rsidTr="00195EDC">
        <w:tc>
          <w:tcPr>
            <w:tcW w:w="347" w:type="pct"/>
          </w:tcPr>
          <w:p w:rsidR="00187196" w:rsidRDefault="00187196" w:rsidP="00187196">
            <w:pPr>
              <w:pStyle w:val="RepTable"/>
            </w:pPr>
            <w:r>
              <w:lastRenderedPageBreak/>
              <w:t xml:space="preserve">KCA </w:t>
            </w:r>
          </w:p>
          <w:p w:rsidR="00187196" w:rsidRPr="00B27D39" w:rsidRDefault="00187196" w:rsidP="00187196">
            <w:pPr>
              <w:pStyle w:val="RepTable"/>
            </w:pPr>
            <w:r>
              <w:t>5.1.1/12</w:t>
            </w:r>
          </w:p>
        </w:tc>
        <w:tc>
          <w:tcPr>
            <w:tcW w:w="636" w:type="pct"/>
          </w:tcPr>
          <w:p w:rsidR="00187196" w:rsidRPr="00FF3C47" w:rsidRDefault="000F03B2" w:rsidP="00187196">
            <w:pPr>
              <w:pStyle w:val="RepTable"/>
              <w:rPr>
                <w:highlight w:val="black"/>
              </w:rPr>
            </w:pPr>
            <w:r w:rsidRPr="00FF3C47">
              <w:rPr>
                <w:noProof w:val="0"/>
                <w:color w:val="000000"/>
                <w:kern w:val="2"/>
                <w:highlight w:val="black"/>
                <w:lang w:val="en-IE" w:eastAsia="en-IE"/>
              </w:rPr>
              <w:t>Anon</w:t>
            </w:r>
          </w:p>
        </w:tc>
        <w:tc>
          <w:tcPr>
            <w:tcW w:w="270" w:type="pct"/>
          </w:tcPr>
          <w:p w:rsidR="00187196" w:rsidRPr="00FF3C47" w:rsidRDefault="00187196" w:rsidP="00187196">
            <w:pPr>
              <w:pStyle w:val="RepTable"/>
              <w:jc w:val="center"/>
              <w:rPr>
                <w:highlight w:val="black"/>
              </w:rPr>
            </w:pPr>
            <w:r w:rsidRPr="00FF3C47">
              <w:rPr>
                <w:highlight w:val="black"/>
              </w:rPr>
              <w:t>1998</w:t>
            </w:r>
          </w:p>
        </w:tc>
        <w:tc>
          <w:tcPr>
            <w:tcW w:w="2948" w:type="pct"/>
          </w:tcPr>
          <w:p w:rsidR="00187196" w:rsidRDefault="00187196" w:rsidP="00187196">
            <w:pPr>
              <w:pStyle w:val="RepTable"/>
            </w:pPr>
            <w:r>
              <w:t xml:space="preserve">Rat metabolism - Repeated oral dose (7 x 100 mg/kg body weight) U-14C-phenyl-AE F115008 xxxxxxxxxxxxx, </w:t>
            </w:r>
          </w:p>
          <w:p w:rsidR="00187196" w:rsidRDefault="00187196" w:rsidP="00187196">
            <w:pPr>
              <w:pStyle w:val="RepTable"/>
            </w:pPr>
            <w:r>
              <w:t xml:space="preserve">Report No.: C000362, Edition Number: M-180530-01-1, EPA MRID No.: 45108803 </w:t>
            </w:r>
          </w:p>
          <w:p w:rsidR="00187196" w:rsidRDefault="00187196" w:rsidP="00187196">
            <w:pPr>
              <w:pStyle w:val="RepTable"/>
            </w:pPr>
            <w:r>
              <w:t xml:space="preserve">Date: 1998-07-31 </w:t>
            </w:r>
          </w:p>
          <w:p w:rsidR="00FE6385" w:rsidRPr="00FE6385" w:rsidRDefault="00FE6385" w:rsidP="00FE6385">
            <w:pPr>
              <w:pStyle w:val="RepTable"/>
            </w:pPr>
            <w:r w:rsidRPr="00FE6385">
              <w:t>GLP/GEP: Yes</w:t>
            </w:r>
          </w:p>
          <w:p w:rsidR="00187196" w:rsidRPr="00B27D39" w:rsidRDefault="00FE6385" w:rsidP="00FE6385">
            <w:pPr>
              <w:pStyle w:val="RepTable"/>
            </w:pPr>
            <w:r w:rsidRPr="00FE6385">
              <w:rPr>
                <w:lang w:val="en-US"/>
              </w:rPr>
              <w:t>Unpublished</w:t>
            </w:r>
          </w:p>
        </w:tc>
        <w:tc>
          <w:tcPr>
            <w:tcW w:w="360" w:type="pct"/>
          </w:tcPr>
          <w:p w:rsidR="00187196" w:rsidRPr="00B27D39" w:rsidRDefault="00187196" w:rsidP="00187196">
            <w:pPr>
              <w:pStyle w:val="RepTable"/>
              <w:jc w:val="center"/>
            </w:pPr>
            <w:r w:rsidRPr="00293CE6">
              <w:t xml:space="preserve">Y </w:t>
            </w:r>
          </w:p>
        </w:tc>
        <w:tc>
          <w:tcPr>
            <w:tcW w:w="439" w:type="pct"/>
          </w:tcPr>
          <w:p w:rsidR="00187196" w:rsidRPr="00B27D39" w:rsidRDefault="00187196" w:rsidP="00187196">
            <w:pPr>
              <w:pStyle w:val="RepTable"/>
              <w:jc w:val="center"/>
            </w:pPr>
            <w:r w:rsidRPr="00293CE6">
              <w:t xml:space="preserve">Bayer CropScience </w:t>
            </w:r>
          </w:p>
        </w:tc>
      </w:tr>
      <w:tr w:rsidR="00187196" w:rsidRPr="00B27D39" w:rsidTr="00195EDC">
        <w:tc>
          <w:tcPr>
            <w:tcW w:w="347" w:type="pct"/>
          </w:tcPr>
          <w:p w:rsidR="00187196" w:rsidRDefault="00187196" w:rsidP="00187196">
            <w:pPr>
              <w:pStyle w:val="RepTable"/>
            </w:pPr>
            <w:r>
              <w:t xml:space="preserve">KCA </w:t>
            </w:r>
          </w:p>
          <w:p w:rsidR="00187196" w:rsidRPr="00B27D39" w:rsidRDefault="00187196" w:rsidP="00187196">
            <w:pPr>
              <w:pStyle w:val="RepTable"/>
            </w:pPr>
            <w:r>
              <w:t>5.1.1/13</w:t>
            </w:r>
          </w:p>
        </w:tc>
        <w:tc>
          <w:tcPr>
            <w:tcW w:w="636" w:type="pct"/>
          </w:tcPr>
          <w:p w:rsidR="00187196" w:rsidRPr="00FF3C47" w:rsidRDefault="000F03B2" w:rsidP="00187196">
            <w:pPr>
              <w:pStyle w:val="RepTable"/>
              <w:rPr>
                <w:highlight w:val="black"/>
              </w:rPr>
            </w:pPr>
            <w:r w:rsidRPr="00FF3C47">
              <w:rPr>
                <w:noProof w:val="0"/>
                <w:color w:val="000000"/>
                <w:kern w:val="2"/>
                <w:highlight w:val="black"/>
                <w:lang w:val="en-IE" w:eastAsia="en-IE"/>
              </w:rPr>
              <w:t>Anon</w:t>
            </w:r>
          </w:p>
        </w:tc>
        <w:tc>
          <w:tcPr>
            <w:tcW w:w="270" w:type="pct"/>
          </w:tcPr>
          <w:p w:rsidR="00187196" w:rsidRPr="00FF3C47" w:rsidRDefault="00187196" w:rsidP="00187196">
            <w:pPr>
              <w:pStyle w:val="RepTable"/>
              <w:jc w:val="center"/>
              <w:rPr>
                <w:highlight w:val="black"/>
              </w:rPr>
            </w:pPr>
            <w:r w:rsidRPr="00FF3C47">
              <w:rPr>
                <w:highlight w:val="black"/>
              </w:rPr>
              <w:t>2013</w:t>
            </w:r>
          </w:p>
        </w:tc>
        <w:tc>
          <w:tcPr>
            <w:tcW w:w="2948" w:type="pct"/>
          </w:tcPr>
          <w:p w:rsidR="00187196" w:rsidRDefault="00187196" w:rsidP="00187196">
            <w:pPr>
              <w:pStyle w:val="RepTable"/>
            </w:pPr>
            <w:r>
              <w:t xml:space="preserve">[Triazinyl-2-14C]iodosulfuron-methyl-sodium: Metabolic stability and profiling in liver microsomes from rats and humans for inter-species comparison xxxxxxxxxxxxxxxxxx </w:t>
            </w:r>
          </w:p>
          <w:p w:rsidR="00187196" w:rsidRDefault="00187196" w:rsidP="00187196">
            <w:pPr>
              <w:pStyle w:val="RepTable"/>
            </w:pPr>
            <w:r>
              <w:t xml:space="preserve">Report No.: EnSa-13-0828, Edition Number: M-470475-01-1 </w:t>
            </w:r>
          </w:p>
          <w:p w:rsidR="00187196" w:rsidRDefault="00187196" w:rsidP="00187196">
            <w:pPr>
              <w:pStyle w:val="RepTable"/>
            </w:pPr>
            <w:r>
              <w:t xml:space="preserve">Date: 2013-11-15 </w:t>
            </w:r>
          </w:p>
          <w:p w:rsidR="00FE6385" w:rsidRPr="00FE6385" w:rsidRDefault="00FE6385" w:rsidP="00FE6385">
            <w:pPr>
              <w:pStyle w:val="RepTable"/>
            </w:pPr>
            <w:r w:rsidRPr="00FE6385">
              <w:t>GLP/GEP: Yes</w:t>
            </w:r>
          </w:p>
          <w:p w:rsidR="00187196" w:rsidRPr="00B27D39" w:rsidRDefault="00FE6385" w:rsidP="00FE6385">
            <w:pPr>
              <w:pStyle w:val="RepTable"/>
            </w:pPr>
            <w:r w:rsidRPr="00FE6385">
              <w:rPr>
                <w:lang w:val="en-US"/>
              </w:rPr>
              <w:t>Unpublished</w:t>
            </w:r>
          </w:p>
        </w:tc>
        <w:tc>
          <w:tcPr>
            <w:tcW w:w="360" w:type="pct"/>
          </w:tcPr>
          <w:p w:rsidR="00187196" w:rsidRPr="00B27D39" w:rsidRDefault="00187196" w:rsidP="00187196">
            <w:pPr>
              <w:pStyle w:val="RepTable"/>
              <w:jc w:val="center"/>
            </w:pPr>
            <w:r w:rsidRPr="00E475F3">
              <w:t xml:space="preserve">Y </w:t>
            </w:r>
          </w:p>
        </w:tc>
        <w:tc>
          <w:tcPr>
            <w:tcW w:w="439" w:type="pct"/>
          </w:tcPr>
          <w:p w:rsidR="00187196" w:rsidRPr="00B27D39" w:rsidRDefault="00187196" w:rsidP="00187196">
            <w:pPr>
              <w:pStyle w:val="RepTable"/>
              <w:jc w:val="center"/>
            </w:pPr>
            <w:r w:rsidRPr="00E475F3">
              <w:t xml:space="preserve">Bayer CropScience </w:t>
            </w:r>
          </w:p>
        </w:tc>
      </w:tr>
      <w:tr w:rsidR="00187196" w:rsidRPr="00B27D39" w:rsidTr="00195EDC">
        <w:tc>
          <w:tcPr>
            <w:tcW w:w="347" w:type="pct"/>
          </w:tcPr>
          <w:p w:rsidR="00187196" w:rsidRDefault="00187196" w:rsidP="00187196">
            <w:pPr>
              <w:pStyle w:val="RepTable"/>
            </w:pPr>
            <w:r>
              <w:t xml:space="preserve">KCA </w:t>
            </w:r>
          </w:p>
          <w:p w:rsidR="00187196" w:rsidRPr="00B27D39" w:rsidRDefault="00187196" w:rsidP="00187196">
            <w:pPr>
              <w:pStyle w:val="RepTable"/>
            </w:pPr>
            <w:r>
              <w:t>5.1.1/14</w:t>
            </w:r>
          </w:p>
        </w:tc>
        <w:tc>
          <w:tcPr>
            <w:tcW w:w="636" w:type="pct"/>
          </w:tcPr>
          <w:p w:rsidR="00187196" w:rsidRPr="00FF3C47" w:rsidRDefault="00187196" w:rsidP="00187196">
            <w:pPr>
              <w:pStyle w:val="RepTable"/>
              <w:rPr>
                <w:highlight w:val="black"/>
              </w:rPr>
            </w:pPr>
            <w:r w:rsidRPr="00FF3C47">
              <w:rPr>
                <w:highlight w:val="black"/>
              </w:rPr>
              <w:t xml:space="preserve">Koester, J. </w:t>
            </w:r>
          </w:p>
        </w:tc>
        <w:tc>
          <w:tcPr>
            <w:tcW w:w="270" w:type="pct"/>
          </w:tcPr>
          <w:p w:rsidR="00187196" w:rsidRPr="00FF3C47" w:rsidRDefault="00187196" w:rsidP="00187196">
            <w:pPr>
              <w:pStyle w:val="RepTable"/>
              <w:jc w:val="center"/>
              <w:rPr>
                <w:highlight w:val="black"/>
              </w:rPr>
            </w:pPr>
            <w:r w:rsidRPr="00FF3C47">
              <w:rPr>
                <w:highlight w:val="black"/>
              </w:rPr>
              <w:t xml:space="preserve">2013 </w:t>
            </w:r>
          </w:p>
        </w:tc>
        <w:tc>
          <w:tcPr>
            <w:tcW w:w="2948" w:type="pct"/>
          </w:tcPr>
          <w:p w:rsidR="00187196" w:rsidRDefault="00187196" w:rsidP="00187196">
            <w:pPr>
              <w:pStyle w:val="RepTable"/>
            </w:pPr>
            <w:r>
              <w:t xml:space="preserve">[Triazinyl-2-14C]Iodosulfuron-methyl-sodium :Isolation and identification of metabolite(s) from an in-vitro study with human liver microsomes Bayer CropScience, </w:t>
            </w:r>
          </w:p>
          <w:p w:rsidR="00187196" w:rsidRDefault="00187196" w:rsidP="00187196">
            <w:pPr>
              <w:pStyle w:val="RepTable"/>
            </w:pPr>
            <w:r>
              <w:t xml:space="preserve">Report No.: EnSa-13-0692, Edition Number: M-465993-01-1 </w:t>
            </w:r>
          </w:p>
          <w:p w:rsidR="00187196" w:rsidRDefault="00187196" w:rsidP="00187196">
            <w:pPr>
              <w:pStyle w:val="RepTable"/>
            </w:pPr>
            <w:r>
              <w:t xml:space="preserve">Date: 2013-10-01 </w:t>
            </w:r>
          </w:p>
          <w:p w:rsidR="00FE6385" w:rsidRPr="00FE6385" w:rsidRDefault="00FE6385" w:rsidP="00FE6385">
            <w:pPr>
              <w:pStyle w:val="RepTable"/>
            </w:pPr>
            <w:r w:rsidRPr="00FE6385">
              <w:t>GLP/GEP: Yes</w:t>
            </w:r>
          </w:p>
          <w:p w:rsidR="00187196" w:rsidRPr="00B27D39" w:rsidRDefault="00FE6385" w:rsidP="00FE6385">
            <w:pPr>
              <w:pStyle w:val="RepTable"/>
            </w:pPr>
            <w:r w:rsidRPr="00FE6385">
              <w:rPr>
                <w:lang w:val="en-US"/>
              </w:rPr>
              <w:t>Unpublished</w:t>
            </w:r>
          </w:p>
        </w:tc>
        <w:tc>
          <w:tcPr>
            <w:tcW w:w="360" w:type="pct"/>
          </w:tcPr>
          <w:p w:rsidR="00187196" w:rsidRPr="00B27D39" w:rsidRDefault="00187196" w:rsidP="00187196">
            <w:pPr>
              <w:pStyle w:val="RepTable"/>
              <w:jc w:val="center"/>
            </w:pPr>
            <w:r w:rsidRPr="00F547A8">
              <w:t xml:space="preserve">N </w:t>
            </w:r>
          </w:p>
        </w:tc>
        <w:tc>
          <w:tcPr>
            <w:tcW w:w="439" w:type="pct"/>
          </w:tcPr>
          <w:p w:rsidR="00187196" w:rsidRPr="00B27D39" w:rsidRDefault="00187196" w:rsidP="00187196">
            <w:pPr>
              <w:pStyle w:val="RepTable"/>
              <w:jc w:val="center"/>
            </w:pPr>
            <w:r w:rsidRPr="00F547A8">
              <w:t xml:space="preserve">Bayer CropScience </w:t>
            </w:r>
          </w:p>
        </w:tc>
      </w:tr>
      <w:tr w:rsidR="00187196" w:rsidRPr="00B27D39" w:rsidTr="00195EDC">
        <w:tc>
          <w:tcPr>
            <w:tcW w:w="347" w:type="pct"/>
          </w:tcPr>
          <w:p w:rsidR="00187196" w:rsidRDefault="00187196" w:rsidP="00187196">
            <w:pPr>
              <w:pStyle w:val="RepTable"/>
            </w:pPr>
            <w:r>
              <w:t xml:space="preserve">KCA </w:t>
            </w:r>
          </w:p>
          <w:p w:rsidR="00187196" w:rsidRPr="00B27D39" w:rsidRDefault="00187196" w:rsidP="00187196">
            <w:pPr>
              <w:pStyle w:val="RepTable"/>
            </w:pPr>
            <w:r>
              <w:t>5.1.2/01</w:t>
            </w:r>
          </w:p>
        </w:tc>
        <w:tc>
          <w:tcPr>
            <w:tcW w:w="636" w:type="pct"/>
          </w:tcPr>
          <w:p w:rsidR="00187196" w:rsidRPr="00FF3C47" w:rsidRDefault="000F03B2" w:rsidP="00187196">
            <w:pPr>
              <w:pStyle w:val="RepTable"/>
              <w:rPr>
                <w:highlight w:val="black"/>
              </w:rPr>
            </w:pPr>
            <w:r w:rsidRPr="00FF3C47">
              <w:rPr>
                <w:noProof w:val="0"/>
                <w:color w:val="000000"/>
                <w:kern w:val="2"/>
                <w:highlight w:val="black"/>
                <w:lang w:val="en-IE" w:eastAsia="en-IE"/>
              </w:rPr>
              <w:t>Anon</w:t>
            </w:r>
          </w:p>
        </w:tc>
        <w:tc>
          <w:tcPr>
            <w:tcW w:w="270" w:type="pct"/>
          </w:tcPr>
          <w:p w:rsidR="00187196" w:rsidRPr="00FF3C47" w:rsidRDefault="00187196" w:rsidP="00187196">
            <w:pPr>
              <w:pStyle w:val="RepTable"/>
              <w:jc w:val="center"/>
              <w:rPr>
                <w:highlight w:val="black"/>
              </w:rPr>
            </w:pPr>
            <w:r w:rsidRPr="00FF3C47">
              <w:rPr>
                <w:highlight w:val="black"/>
              </w:rPr>
              <w:t>1998</w:t>
            </w:r>
          </w:p>
        </w:tc>
        <w:tc>
          <w:tcPr>
            <w:tcW w:w="2948" w:type="pct"/>
          </w:tcPr>
          <w:p w:rsidR="00187196" w:rsidRDefault="00187196" w:rsidP="00187196">
            <w:pPr>
              <w:pStyle w:val="RepTable"/>
            </w:pPr>
            <w:r>
              <w:t xml:space="preserve">Dermal absorption in the rat (14C)-AE F115008 xxxxxxxxxxxxxx </w:t>
            </w:r>
          </w:p>
          <w:p w:rsidR="00187196" w:rsidRDefault="00187196" w:rsidP="00187196">
            <w:pPr>
              <w:pStyle w:val="RepTable"/>
            </w:pPr>
            <w:r>
              <w:t>Report No.: C001303, Report includes Trial Nos.: TOX98090</w:t>
            </w:r>
            <w:r w:rsidR="007E3526">
              <w:t xml:space="preserve">, </w:t>
            </w:r>
            <w:r>
              <w:t>Edition Number: M-182308-01-1</w:t>
            </w:r>
            <w:r w:rsidR="007E3526">
              <w:t xml:space="preserve">, </w:t>
            </w:r>
            <w:r>
              <w:t xml:space="preserve">EPA MRID No.: 45108915 </w:t>
            </w:r>
          </w:p>
          <w:p w:rsidR="00187196" w:rsidRDefault="00187196" w:rsidP="00187196">
            <w:pPr>
              <w:pStyle w:val="RepTable"/>
            </w:pPr>
            <w:r>
              <w:t xml:space="preserve">Date: 1998-10-28 </w:t>
            </w:r>
          </w:p>
          <w:p w:rsidR="00FE6385" w:rsidRPr="00FE6385" w:rsidRDefault="00FE6385" w:rsidP="00FE6385">
            <w:pPr>
              <w:pStyle w:val="RepTable"/>
            </w:pPr>
            <w:r w:rsidRPr="00FE6385">
              <w:t>GLP/GEP: Yes</w:t>
            </w:r>
          </w:p>
          <w:p w:rsidR="00187196" w:rsidRPr="00B27D39" w:rsidRDefault="00FE6385" w:rsidP="00FE6385">
            <w:pPr>
              <w:pStyle w:val="RepTable"/>
            </w:pPr>
            <w:r w:rsidRPr="00FE6385">
              <w:rPr>
                <w:lang w:val="en-US"/>
              </w:rPr>
              <w:t>Unpublished</w:t>
            </w:r>
          </w:p>
        </w:tc>
        <w:tc>
          <w:tcPr>
            <w:tcW w:w="360" w:type="pct"/>
          </w:tcPr>
          <w:p w:rsidR="00187196" w:rsidRPr="00B27D39" w:rsidRDefault="00187196" w:rsidP="00187196">
            <w:pPr>
              <w:pStyle w:val="RepTable"/>
              <w:jc w:val="center"/>
            </w:pPr>
            <w:r w:rsidRPr="009A18FB">
              <w:t xml:space="preserve">Y </w:t>
            </w:r>
          </w:p>
        </w:tc>
        <w:tc>
          <w:tcPr>
            <w:tcW w:w="439" w:type="pct"/>
          </w:tcPr>
          <w:p w:rsidR="00187196" w:rsidRPr="00B27D39" w:rsidRDefault="00187196" w:rsidP="00187196">
            <w:pPr>
              <w:pStyle w:val="RepTable"/>
              <w:jc w:val="center"/>
            </w:pPr>
            <w:r w:rsidRPr="009A18FB">
              <w:t xml:space="preserve">Bayer CropScience </w:t>
            </w:r>
          </w:p>
        </w:tc>
      </w:tr>
      <w:tr w:rsidR="00A52D9F" w:rsidRPr="00B27D39" w:rsidTr="00195EDC">
        <w:tc>
          <w:tcPr>
            <w:tcW w:w="347" w:type="pct"/>
          </w:tcPr>
          <w:p w:rsidR="00A52D9F" w:rsidRDefault="00A52D9F" w:rsidP="00A52D9F">
            <w:pPr>
              <w:pStyle w:val="RepTable"/>
            </w:pPr>
            <w:r>
              <w:t xml:space="preserve">KCA </w:t>
            </w:r>
          </w:p>
          <w:p w:rsidR="00A52D9F" w:rsidRPr="00B27D39" w:rsidRDefault="00A52D9F" w:rsidP="00A52D9F">
            <w:pPr>
              <w:pStyle w:val="RepTable"/>
            </w:pPr>
            <w:r>
              <w:t>5.2.1/01</w:t>
            </w:r>
          </w:p>
        </w:tc>
        <w:tc>
          <w:tcPr>
            <w:tcW w:w="636" w:type="pct"/>
          </w:tcPr>
          <w:p w:rsidR="00A52D9F" w:rsidRPr="00FF3C47" w:rsidRDefault="000F03B2" w:rsidP="00A52D9F">
            <w:pPr>
              <w:pStyle w:val="RepTable"/>
              <w:rPr>
                <w:highlight w:val="black"/>
              </w:rPr>
            </w:pPr>
            <w:r w:rsidRPr="00FF3C47">
              <w:rPr>
                <w:noProof w:val="0"/>
                <w:color w:val="000000"/>
                <w:kern w:val="2"/>
                <w:highlight w:val="black"/>
                <w:lang w:val="en-IE" w:eastAsia="en-IE"/>
              </w:rPr>
              <w:t>Anon</w:t>
            </w:r>
          </w:p>
        </w:tc>
        <w:tc>
          <w:tcPr>
            <w:tcW w:w="270" w:type="pct"/>
          </w:tcPr>
          <w:p w:rsidR="00A52D9F" w:rsidRPr="00FF3C47" w:rsidRDefault="00A52D9F" w:rsidP="00A52D9F">
            <w:pPr>
              <w:pStyle w:val="RepTable"/>
              <w:jc w:val="center"/>
              <w:rPr>
                <w:highlight w:val="black"/>
              </w:rPr>
            </w:pPr>
            <w:r w:rsidRPr="00FF3C47">
              <w:rPr>
                <w:highlight w:val="black"/>
              </w:rPr>
              <w:t>1993</w:t>
            </w:r>
          </w:p>
        </w:tc>
        <w:tc>
          <w:tcPr>
            <w:tcW w:w="2948" w:type="pct"/>
          </w:tcPr>
          <w:p w:rsidR="00A52D9F" w:rsidRDefault="00A52D9F" w:rsidP="00A52D9F">
            <w:pPr>
              <w:pStyle w:val="RepTable"/>
            </w:pPr>
            <w:r>
              <w:t xml:space="preserve">Acute oral toxicity in the male and female Wistar rat Hoe 115008 substance, technical Code: Hoe 115008 00 ZC97 0001 xxxxxxxxxxxxxx </w:t>
            </w:r>
          </w:p>
          <w:p w:rsidR="00A52D9F" w:rsidRDefault="00A52D9F" w:rsidP="00A52D9F">
            <w:pPr>
              <w:pStyle w:val="RepTable"/>
            </w:pPr>
            <w:r>
              <w:t xml:space="preserve">Report No.: A51192, Edition Number: M-132162-01-1, EPA MRID No.: 45133404 </w:t>
            </w:r>
          </w:p>
          <w:p w:rsidR="00A52D9F" w:rsidRDefault="00A52D9F" w:rsidP="00A52D9F">
            <w:pPr>
              <w:pStyle w:val="RepTable"/>
            </w:pPr>
            <w:r>
              <w:lastRenderedPageBreak/>
              <w:t xml:space="preserve">Date: 1993-08-10 </w:t>
            </w:r>
          </w:p>
          <w:p w:rsidR="00FE6385" w:rsidRPr="00FE6385" w:rsidRDefault="00FE6385" w:rsidP="00FE6385">
            <w:pPr>
              <w:pStyle w:val="RepTable"/>
            </w:pPr>
            <w:r w:rsidRPr="00FE6385">
              <w:t>GLP/GEP: Yes</w:t>
            </w:r>
          </w:p>
          <w:p w:rsidR="00A52D9F" w:rsidRPr="00B27D39" w:rsidRDefault="00FE6385" w:rsidP="00FE6385">
            <w:pPr>
              <w:pStyle w:val="RepTable"/>
            </w:pPr>
            <w:r w:rsidRPr="00FE6385">
              <w:rPr>
                <w:lang w:val="en-US"/>
              </w:rPr>
              <w:t>Unpublished</w:t>
            </w:r>
          </w:p>
        </w:tc>
        <w:tc>
          <w:tcPr>
            <w:tcW w:w="360" w:type="pct"/>
          </w:tcPr>
          <w:p w:rsidR="00A52D9F" w:rsidRPr="00B27D39" w:rsidRDefault="00A52D9F" w:rsidP="00A52D9F">
            <w:pPr>
              <w:pStyle w:val="RepTable"/>
              <w:jc w:val="center"/>
            </w:pPr>
            <w:r w:rsidRPr="003E2ABA">
              <w:lastRenderedPageBreak/>
              <w:t xml:space="preserve">Y </w:t>
            </w:r>
          </w:p>
        </w:tc>
        <w:tc>
          <w:tcPr>
            <w:tcW w:w="439" w:type="pct"/>
          </w:tcPr>
          <w:p w:rsidR="00A52D9F" w:rsidRPr="00B27D39" w:rsidRDefault="00A52D9F" w:rsidP="00A52D9F">
            <w:pPr>
              <w:pStyle w:val="RepTable"/>
              <w:jc w:val="center"/>
            </w:pPr>
            <w:r w:rsidRPr="003E2ABA">
              <w:t xml:space="preserve">Bayer CropScience </w:t>
            </w:r>
          </w:p>
        </w:tc>
      </w:tr>
      <w:tr w:rsidR="004E78E1" w:rsidRPr="00B27D39" w:rsidTr="00195EDC">
        <w:tc>
          <w:tcPr>
            <w:tcW w:w="347" w:type="pct"/>
          </w:tcPr>
          <w:p w:rsidR="004E78E1" w:rsidRDefault="004E78E1" w:rsidP="004E78E1">
            <w:pPr>
              <w:pStyle w:val="RepTable"/>
            </w:pPr>
            <w:r>
              <w:lastRenderedPageBreak/>
              <w:t xml:space="preserve">KCA </w:t>
            </w:r>
          </w:p>
          <w:p w:rsidR="004E78E1" w:rsidRPr="00B27D39" w:rsidRDefault="004E78E1" w:rsidP="004E78E1">
            <w:pPr>
              <w:pStyle w:val="RepTable"/>
            </w:pPr>
            <w:r>
              <w:t>5.2.2/01</w:t>
            </w:r>
          </w:p>
        </w:tc>
        <w:tc>
          <w:tcPr>
            <w:tcW w:w="636" w:type="pct"/>
          </w:tcPr>
          <w:p w:rsidR="004E78E1" w:rsidRPr="00FF3C47" w:rsidRDefault="000F03B2" w:rsidP="004E78E1">
            <w:pPr>
              <w:pStyle w:val="RepTable"/>
              <w:rPr>
                <w:highlight w:val="black"/>
              </w:rPr>
            </w:pPr>
            <w:r w:rsidRPr="00FF3C47">
              <w:rPr>
                <w:noProof w:val="0"/>
                <w:color w:val="000000"/>
                <w:kern w:val="2"/>
                <w:highlight w:val="black"/>
                <w:lang w:val="en-IE" w:eastAsia="en-IE"/>
              </w:rPr>
              <w:t>Anon</w:t>
            </w:r>
          </w:p>
        </w:tc>
        <w:tc>
          <w:tcPr>
            <w:tcW w:w="270" w:type="pct"/>
          </w:tcPr>
          <w:p w:rsidR="004E78E1" w:rsidRPr="00FF3C47" w:rsidRDefault="004E78E1" w:rsidP="004E78E1">
            <w:pPr>
              <w:pStyle w:val="RepTable"/>
              <w:jc w:val="center"/>
              <w:rPr>
                <w:highlight w:val="black"/>
              </w:rPr>
            </w:pPr>
            <w:r w:rsidRPr="00FF3C47">
              <w:rPr>
                <w:highlight w:val="black"/>
              </w:rPr>
              <w:t>1993</w:t>
            </w:r>
          </w:p>
        </w:tc>
        <w:tc>
          <w:tcPr>
            <w:tcW w:w="2948" w:type="pct"/>
          </w:tcPr>
          <w:p w:rsidR="004E78E1" w:rsidRDefault="004E78E1" w:rsidP="004E78E1">
            <w:pPr>
              <w:pStyle w:val="RepTable"/>
            </w:pPr>
            <w:r>
              <w:t xml:space="preserve">Acute dermal toxicity in the male and female Wistar rat Hoe 115008 substance, technical Code: Hoe 115008 00 ZC97 0001 xxxxxxxxxxxxxxxxxx </w:t>
            </w:r>
          </w:p>
          <w:p w:rsidR="004E78E1" w:rsidRDefault="004E78E1" w:rsidP="004E78E1">
            <w:pPr>
              <w:pStyle w:val="RepTable"/>
            </w:pPr>
            <w:r>
              <w:t xml:space="preserve">Report No.: A51142, Edition Number: M-132113-01-1, EPA MRID No.: 45133405 </w:t>
            </w:r>
          </w:p>
          <w:p w:rsidR="004E78E1" w:rsidRDefault="004E78E1" w:rsidP="004E78E1">
            <w:pPr>
              <w:pStyle w:val="RepTable"/>
            </w:pPr>
            <w:r>
              <w:t xml:space="preserve">Date: 1993-07-21 </w:t>
            </w:r>
          </w:p>
          <w:p w:rsidR="00FE6385" w:rsidRPr="00FE6385" w:rsidRDefault="00FE6385" w:rsidP="00FE6385">
            <w:pPr>
              <w:pStyle w:val="RepTable"/>
            </w:pPr>
            <w:r w:rsidRPr="00FE6385">
              <w:t>GLP/GEP: Yes</w:t>
            </w:r>
          </w:p>
          <w:p w:rsidR="004E78E1" w:rsidRPr="00B27D39" w:rsidRDefault="00FE6385" w:rsidP="00FE6385">
            <w:pPr>
              <w:pStyle w:val="RepTable"/>
            </w:pPr>
            <w:r w:rsidRPr="00FE6385">
              <w:rPr>
                <w:lang w:val="en-US"/>
              </w:rPr>
              <w:t>Unpublished</w:t>
            </w:r>
          </w:p>
        </w:tc>
        <w:tc>
          <w:tcPr>
            <w:tcW w:w="360" w:type="pct"/>
          </w:tcPr>
          <w:p w:rsidR="004E78E1" w:rsidRPr="00B27D39" w:rsidRDefault="004E78E1" w:rsidP="004E78E1">
            <w:pPr>
              <w:pStyle w:val="RepTable"/>
              <w:jc w:val="center"/>
            </w:pPr>
            <w:r w:rsidRPr="00175C2E">
              <w:t xml:space="preserve">Y </w:t>
            </w:r>
          </w:p>
        </w:tc>
        <w:tc>
          <w:tcPr>
            <w:tcW w:w="439" w:type="pct"/>
          </w:tcPr>
          <w:p w:rsidR="004E78E1" w:rsidRPr="00B27D39" w:rsidRDefault="004E78E1" w:rsidP="004E78E1">
            <w:pPr>
              <w:pStyle w:val="RepTable"/>
              <w:jc w:val="center"/>
            </w:pPr>
            <w:r w:rsidRPr="00175C2E">
              <w:t xml:space="preserve">Bayer CropScience </w:t>
            </w:r>
          </w:p>
        </w:tc>
      </w:tr>
      <w:tr w:rsidR="004E78E1" w:rsidRPr="00B27D39" w:rsidTr="00195EDC">
        <w:tc>
          <w:tcPr>
            <w:tcW w:w="347" w:type="pct"/>
          </w:tcPr>
          <w:p w:rsidR="004E78E1" w:rsidRDefault="004E78E1" w:rsidP="004E78E1">
            <w:pPr>
              <w:pStyle w:val="RepTable"/>
            </w:pPr>
            <w:r>
              <w:t xml:space="preserve">KCA </w:t>
            </w:r>
          </w:p>
          <w:p w:rsidR="004E78E1" w:rsidRPr="00B27D39" w:rsidRDefault="004E78E1" w:rsidP="004E78E1">
            <w:pPr>
              <w:pStyle w:val="RepTable"/>
            </w:pPr>
            <w:r>
              <w:t>5.2.3/01</w:t>
            </w:r>
          </w:p>
        </w:tc>
        <w:tc>
          <w:tcPr>
            <w:tcW w:w="636" w:type="pct"/>
          </w:tcPr>
          <w:p w:rsidR="004E78E1" w:rsidRPr="00FF3C47" w:rsidRDefault="000F03B2" w:rsidP="004E78E1">
            <w:pPr>
              <w:pStyle w:val="RepTable"/>
              <w:rPr>
                <w:highlight w:val="black"/>
              </w:rPr>
            </w:pPr>
            <w:r w:rsidRPr="00FF3C47">
              <w:rPr>
                <w:noProof w:val="0"/>
                <w:color w:val="000000"/>
                <w:kern w:val="2"/>
                <w:highlight w:val="black"/>
                <w:lang w:val="en-IE" w:eastAsia="en-IE"/>
              </w:rPr>
              <w:t>Anon</w:t>
            </w:r>
          </w:p>
        </w:tc>
        <w:tc>
          <w:tcPr>
            <w:tcW w:w="270" w:type="pct"/>
          </w:tcPr>
          <w:p w:rsidR="004E78E1" w:rsidRPr="00FF3C47" w:rsidRDefault="004E78E1" w:rsidP="004E78E1">
            <w:pPr>
              <w:pStyle w:val="RepTable"/>
              <w:jc w:val="center"/>
              <w:rPr>
                <w:highlight w:val="black"/>
              </w:rPr>
            </w:pPr>
            <w:r w:rsidRPr="00FF3C47">
              <w:rPr>
                <w:highlight w:val="black"/>
              </w:rPr>
              <w:t>1996</w:t>
            </w:r>
          </w:p>
        </w:tc>
        <w:tc>
          <w:tcPr>
            <w:tcW w:w="2948" w:type="pct"/>
          </w:tcPr>
          <w:p w:rsidR="004E78E1" w:rsidRDefault="004E78E1" w:rsidP="004E78E1">
            <w:pPr>
              <w:pStyle w:val="RepTable"/>
            </w:pPr>
            <w:r>
              <w:t xml:space="preserve">Acute aerosol inhalation toxicity in the male and female SPF Wistar rat 4-hour LC50 Code: Hoe 115008 00 ZC89 0001 xxxxxxxxxxxxxxxxxxxxxxxx </w:t>
            </w:r>
          </w:p>
          <w:p w:rsidR="004E78E1" w:rsidRDefault="004E78E1" w:rsidP="004E78E1">
            <w:pPr>
              <w:pStyle w:val="RepTable"/>
            </w:pPr>
            <w:r>
              <w:t xml:space="preserve">Report No.: A57043, Report includes Trial Nos.: 95.0516, Edition Number: M-140802-01-1, EPA MRID No.: 45108805, </w:t>
            </w:r>
          </w:p>
          <w:p w:rsidR="004E78E1" w:rsidRDefault="004E78E1" w:rsidP="004E78E1">
            <w:pPr>
              <w:pStyle w:val="RepTable"/>
            </w:pPr>
            <w:r>
              <w:t xml:space="preserve">Date: 1996-05-29 </w:t>
            </w:r>
          </w:p>
          <w:p w:rsidR="00FE6385" w:rsidRPr="00FE6385" w:rsidRDefault="00FE6385" w:rsidP="00FE6385">
            <w:pPr>
              <w:pStyle w:val="RepTable"/>
            </w:pPr>
            <w:r w:rsidRPr="00FE6385">
              <w:t>GLP/GEP: Yes</w:t>
            </w:r>
          </w:p>
          <w:p w:rsidR="004E78E1" w:rsidRPr="00B27D39" w:rsidRDefault="00FE6385" w:rsidP="00FE6385">
            <w:pPr>
              <w:pStyle w:val="RepTable"/>
            </w:pPr>
            <w:r w:rsidRPr="00FE6385">
              <w:rPr>
                <w:lang w:val="en-US"/>
              </w:rPr>
              <w:t>Unpublished</w:t>
            </w:r>
          </w:p>
        </w:tc>
        <w:tc>
          <w:tcPr>
            <w:tcW w:w="360" w:type="pct"/>
          </w:tcPr>
          <w:p w:rsidR="004E78E1" w:rsidRPr="00B27D39" w:rsidRDefault="004E78E1" w:rsidP="004E78E1">
            <w:pPr>
              <w:pStyle w:val="RepTable"/>
              <w:jc w:val="center"/>
            </w:pPr>
            <w:r w:rsidRPr="000D3610">
              <w:t xml:space="preserve">Y </w:t>
            </w:r>
          </w:p>
        </w:tc>
        <w:tc>
          <w:tcPr>
            <w:tcW w:w="439" w:type="pct"/>
          </w:tcPr>
          <w:p w:rsidR="004E78E1" w:rsidRPr="00B27D39" w:rsidRDefault="004E78E1" w:rsidP="004E78E1">
            <w:pPr>
              <w:pStyle w:val="RepTable"/>
              <w:jc w:val="center"/>
            </w:pPr>
            <w:r w:rsidRPr="000D3610">
              <w:t xml:space="preserve">Bayer CropScience </w:t>
            </w:r>
          </w:p>
        </w:tc>
      </w:tr>
      <w:tr w:rsidR="006835F1" w:rsidRPr="00B27D39" w:rsidTr="00195EDC">
        <w:tc>
          <w:tcPr>
            <w:tcW w:w="347" w:type="pct"/>
          </w:tcPr>
          <w:p w:rsidR="006835F1" w:rsidRDefault="006835F1" w:rsidP="006835F1">
            <w:pPr>
              <w:pStyle w:val="RepTable"/>
            </w:pPr>
            <w:r>
              <w:t xml:space="preserve">KCA </w:t>
            </w:r>
          </w:p>
          <w:p w:rsidR="006835F1" w:rsidRPr="00B27D39" w:rsidRDefault="006835F1" w:rsidP="006835F1">
            <w:pPr>
              <w:pStyle w:val="RepTable"/>
            </w:pPr>
            <w:r>
              <w:t>5.2.4/01</w:t>
            </w:r>
          </w:p>
        </w:tc>
        <w:tc>
          <w:tcPr>
            <w:tcW w:w="636" w:type="pct"/>
          </w:tcPr>
          <w:p w:rsidR="006835F1" w:rsidRPr="00FF3C47" w:rsidRDefault="000F03B2" w:rsidP="006835F1">
            <w:pPr>
              <w:pStyle w:val="RepTable"/>
              <w:rPr>
                <w:highlight w:val="black"/>
              </w:rPr>
            </w:pPr>
            <w:r w:rsidRPr="00FF3C47">
              <w:rPr>
                <w:noProof w:val="0"/>
                <w:color w:val="000000"/>
                <w:kern w:val="2"/>
                <w:highlight w:val="black"/>
                <w:lang w:val="en-IE" w:eastAsia="en-IE"/>
              </w:rPr>
              <w:t>Anon</w:t>
            </w:r>
          </w:p>
        </w:tc>
        <w:tc>
          <w:tcPr>
            <w:tcW w:w="270" w:type="pct"/>
          </w:tcPr>
          <w:p w:rsidR="006835F1" w:rsidRPr="00FF3C47" w:rsidRDefault="006835F1" w:rsidP="006835F1">
            <w:pPr>
              <w:pStyle w:val="RepTable"/>
              <w:jc w:val="center"/>
              <w:rPr>
                <w:highlight w:val="black"/>
              </w:rPr>
            </w:pPr>
            <w:r w:rsidRPr="00FF3C47">
              <w:rPr>
                <w:highlight w:val="black"/>
              </w:rPr>
              <w:t>1993</w:t>
            </w:r>
          </w:p>
        </w:tc>
        <w:tc>
          <w:tcPr>
            <w:tcW w:w="2948" w:type="pct"/>
          </w:tcPr>
          <w:p w:rsidR="006835F1" w:rsidRDefault="006835F1" w:rsidP="006835F1">
            <w:pPr>
              <w:pStyle w:val="RepTable"/>
            </w:pPr>
            <w:r>
              <w:t xml:space="preserve">Primary dermal irritation in the rabbit Hoe 115008 substance, technical Code: Hoe 115008 00 ZC97 0001 xxxxxxxxxxxxxxxxxx, </w:t>
            </w:r>
          </w:p>
          <w:p w:rsidR="006835F1" w:rsidRDefault="006835F1" w:rsidP="006835F1">
            <w:pPr>
              <w:pStyle w:val="RepTable"/>
            </w:pPr>
            <w:r>
              <w:t>Report No.: A51143, Edition Number: M-132114-01-1, EPA MRID No.: 45133406</w:t>
            </w:r>
          </w:p>
          <w:p w:rsidR="006835F1" w:rsidRDefault="006835F1" w:rsidP="006835F1">
            <w:pPr>
              <w:pStyle w:val="RepTable"/>
            </w:pPr>
            <w:r>
              <w:t xml:space="preserve">Date: 1993-07-26 </w:t>
            </w:r>
          </w:p>
          <w:p w:rsidR="00FE6385" w:rsidRPr="00FE6385" w:rsidRDefault="00FE6385" w:rsidP="00FE6385">
            <w:pPr>
              <w:pStyle w:val="RepTable"/>
            </w:pPr>
            <w:r w:rsidRPr="00FE6385">
              <w:t>GLP/GEP: Yes</w:t>
            </w:r>
          </w:p>
          <w:p w:rsidR="006835F1" w:rsidRPr="00B27D39" w:rsidRDefault="00FE6385" w:rsidP="00FE6385">
            <w:pPr>
              <w:pStyle w:val="RepTable"/>
            </w:pPr>
            <w:r w:rsidRPr="00FE6385">
              <w:rPr>
                <w:lang w:val="en-US"/>
              </w:rPr>
              <w:t>Unpublished</w:t>
            </w:r>
          </w:p>
        </w:tc>
        <w:tc>
          <w:tcPr>
            <w:tcW w:w="360" w:type="pct"/>
          </w:tcPr>
          <w:p w:rsidR="006835F1" w:rsidRPr="00B27D39" w:rsidRDefault="006835F1" w:rsidP="006835F1">
            <w:pPr>
              <w:pStyle w:val="RepTable"/>
              <w:jc w:val="center"/>
            </w:pPr>
            <w:r w:rsidRPr="008F0D74">
              <w:t xml:space="preserve">Y </w:t>
            </w:r>
          </w:p>
        </w:tc>
        <w:tc>
          <w:tcPr>
            <w:tcW w:w="439" w:type="pct"/>
          </w:tcPr>
          <w:p w:rsidR="006835F1" w:rsidRPr="00B27D39" w:rsidRDefault="006835F1" w:rsidP="006835F1">
            <w:pPr>
              <w:pStyle w:val="RepTable"/>
              <w:jc w:val="center"/>
            </w:pPr>
            <w:r w:rsidRPr="008F0D74">
              <w:t xml:space="preserve">Bayer CropScience </w:t>
            </w:r>
          </w:p>
        </w:tc>
      </w:tr>
      <w:tr w:rsidR="00606396" w:rsidRPr="00B27D39" w:rsidTr="00195EDC">
        <w:tc>
          <w:tcPr>
            <w:tcW w:w="347" w:type="pct"/>
          </w:tcPr>
          <w:p w:rsidR="00606396" w:rsidRDefault="00606396" w:rsidP="00606396">
            <w:pPr>
              <w:pStyle w:val="RepTable"/>
            </w:pPr>
            <w:r>
              <w:t xml:space="preserve">KCA </w:t>
            </w:r>
          </w:p>
          <w:p w:rsidR="00606396" w:rsidRPr="00B27D39" w:rsidRDefault="00606396" w:rsidP="00606396">
            <w:pPr>
              <w:pStyle w:val="RepTable"/>
            </w:pPr>
            <w:r>
              <w:t>5.2.5/01</w:t>
            </w:r>
          </w:p>
        </w:tc>
        <w:tc>
          <w:tcPr>
            <w:tcW w:w="636" w:type="pct"/>
          </w:tcPr>
          <w:p w:rsidR="00606396" w:rsidRPr="00FF3C47" w:rsidRDefault="000F03B2" w:rsidP="00606396">
            <w:pPr>
              <w:pStyle w:val="RepTable"/>
              <w:rPr>
                <w:highlight w:val="black"/>
              </w:rPr>
            </w:pPr>
            <w:r w:rsidRPr="00FF3C47">
              <w:rPr>
                <w:noProof w:val="0"/>
                <w:color w:val="000000"/>
                <w:kern w:val="2"/>
                <w:highlight w:val="black"/>
                <w:lang w:val="en-IE" w:eastAsia="en-IE"/>
              </w:rPr>
              <w:t>Anon</w:t>
            </w:r>
          </w:p>
        </w:tc>
        <w:tc>
          <w:tcPr>
            <w:tcW w:w="270" w:type="pct"/>
          </w:tcPr>
          <w:p w:rsidR="00606396" w:rsidRPr="00FF3C47" w:rsidRDefault="00606396" w:rsidP="00606396">
            <w:pPr>
              <w:pStyle w:val="RepTable"/>
              <w:jc w:val="center"/>
              <w:rPr>
                <w:highlight w:val="black"/>
              </w:rPr>
            </w:pPr>
            <w:r w:rsidRPr="00FF3C47">
              <w:rPr>
                <w:highlight w:val="black"/>
              </w:rPr>
              <w:t>1993</w:t>
            </w:r>
          </w:p>
        </w:tc>
        <w:tc>
          <w:tcPr>
            <w:tcW w:w="2948" w:type="pct"/>
          </w:tcPr>
          <w:p w:rsidR="00606396" w:rsidRDefault="00606396" w:rsidP="00606396">
            <w:pPr>
              <w:pStyle w:val="RepTable"/>
            </w:pPr>
            <w:r>
              <w:t xml:space="preserve">Primary eye irritation in the rabbit Hoe 115008 substance, technical Code: Hoe 115008 00 ZC97 0001 xxxxxxxxxxxxxxxx </w:t>
            </w:r>
          </w:p>
          <w:p w:rsidR="00606396" w:rsidRDefault="00606396" w:rsidP="00606396">
            <w:pPr>
              <w:pStyle w:val="RepTable"/>
            </w:pPr>
            <w:r>
              <w:t xml:space="preserve">Report No.: A51144, Edition Number: M-132115-01-1, EPA MRID No.: 45133407 </w:t>
            </w:r>
          </w:p>
          <w:p w:rsidR="00606396" w:rsidRDefault="00606396" w:rsidP="00606396">
            <w:pPr>
              <w:pStyle w:val="RepTable"/>
            </w:pPr>
            <w:r>
              <w:t xml:space="preserve">Date: 1993-07-22 </w:t>
            </w:r>
          </w:p>
          <w:p w:rsidR="00FE6385" w:rsidRPr="00FE6385" w:rsidRDefault="00FE6385" w:rsidP="00FE6385">
            <w:pPr>
              <w:pStyle w:val="RepTable"/>
            </w:pPr>
            <w:r w:rsidRPr="00FE6385">
              <w:t>GLP/GEP: Yes</w:t>
            </w:r>
          </w:p>
          <w:p w:rsidR="00606396" w:rsidRPr="00B27D39" w:rsidRDefault="00FE6385" w:rsidP="00FE6385">
            <w:pPr>
              <w:pStyle w:val="RepTable"/>
            </w:pPr>
            <w:r w:rsidRPr="00FE6385">
              <w:rPr>
                <w:lang w:val="en-US"/>
              </w:rPr>
              <w:t>Unpublished</w:t>
            </w:r>
          </w:p>
        </w:tc>
        <w:tc>
          <w:tcPr>
            <w:tcW w:w="360" w:type="pct"/>
          </w:tcPr>
          <w:p w:rsidR="00606396" w:rsidRPr="00B27D39" w:rsidRDefault="00606396" w:rsidP="00606396">
            <w:pPr>
              <w:pStyle w:val="RepTable"/>
              <w:jc w:val="center"/>
            </w:pPr>
            <w:r w:rsidRPr="00BD7772">
              <w:t xml:space="preserve">Y </w:t>
            </w:r>
          </w:p>
        </w:tc>
        <w:tc>
          <w:tcPr>
            <w:tcW w:w="439" w:type="pct"/>
          </w:tcPr>
          <w:p w:rsidR="00606396" w:rsidRPr="00B27D39" w:rsidRDefault="00606396" w:rsidP="00606396">
            <w:pPr>
              <w:pStyle w:val="RepTable"/>
              <w:jc w:val="center"/>
            </w:pPr>
            <w:r w:rsidRPr="00BD7772">
              <w:t xml:space="preserve">Bayer CropScience </w:t>
            </w:r>
          </w:p>
        </w:tc>
      </w:tr>
      <w:tr w:rsidR="00606396" w:rsidRPr="00B27D39" w:rsidTr="00195EDC">
        <w:tc>
          <w:tcPr>
            <w:tcW w:w="347" w:type="pct"/>
          </w:tcPr>
          <w:p w:rsidR="00606396" w:rsidRDefault="00606396" w:rsidP="00606396">
            <w:pPr>
              <w:pStyle w:val="RepTable"/>
            </w:pPr>
            <w:r>
              <w:t xml:space="preserve">KCA </w:t>
            </w:r>
          </w:p>
          <w:p w:rsidR="00606396" w:rsidRPr="00B27D39" w:rsidRDefault="00606396" w:rsidP="00606396">
            <w:pPr>
              <w:pStyle w:val="RepTable"/>
            </w:pPr>
            <w:r>
              <w:t>5.2.6/01</w:t>
            </w:r>
          </w:p>
        </w:tc>
        <w:tc>
          <w:tcPr>
            <w:tcW w:w="636" w:type="pct"/>
          </w:tcPr>
          <w:p w:rsidR="00606396" w:rsidRPr="00FF3C47" w:rsidRDefault="000F03B2" w:rsidP="00606396">
            <w:pPr>
              <w:pStyle w:val="RepTable"/>
              <w:rPr>
                <w:highlight w:val="black"/>
              </w:rPr>
            </w:pPr>
            <w:r w:rsidRPr="00FF3C47">
              <w:rPr>
                <w:noProof w:val="0"/>
                <w:color w:val="000000"/>
                <w:kern w:val="2"/>
                <w:highlight w:val="black"/>
                <w:lang w:val="en-IE" w:eastAsia="en-IE"/>
              </w:rPr>
              <w:t>Anon</w:t>
            </w:r>
          </w:p>
        </w:tc>
        <w:tc>
          <w:tcPr>
            <w:tcW w:w="270" w:type="pct"/>
          </w:tcPr>
          <w:p w:rsidR="00606396" w:rsidRPr="00FF3C47" w:rsidRDefault="00606396" w:rsidP="00606396">
            <w:pPr>
              <w:pStyle w:val="RepTable"/>
              <w:jc w:val="center"/>
              <w:rPr>
                <w:highlight w:val="black"/>
              </w:rPr>
            </w:pPr>
            <w:r w:rsidRPr="00FF3C47">
              <w:rPr>
                <w:highlight w:val="black"/>
              </w:rPr>
              <w:t>1996</w:t>
            </w:r>
          </w:p>
        </w:tc>
        <w:tc>
          <w:tcPr>
            <w:tcW w:w="2948" w:type="pct"/>
          </w:tcPr>
          <w:p w:rsidR="00606396" w:rsidRDefault="00606396" w:rsidP="00606396">
            <w:pPr>
              <w:pStyle w:val="RepTable"/>
            </w:pPr>
            <w:r>
              <w:t xml:space="preserve">Sensitizing properties in the Pirbright-White guinea pig in a maximization test Hoe 115008 substance, technical </w:t>
            </w:r>
          </w:p>
          <w:p w:rsidR="00606396" w:rsidRDefault="00606396" w:rsidP="00606396">
            <w:pPr>
              <w:pStyle w:val="RepTable"/>
            </w:pPr>
            <w:r>
              <w:t xml:space="preserve">Code: Hoe 115008 00 ZC89 0001 xxxxxxxxxxxxxxxx </w:t>
            </w:r>
          </w:p>
          <w:p w:rsidR="00606396" w:rsidRDefault="00606396" w:rsidP="00606396">
            <w:pPr>
              <w:pStyle w:val="RepTable"/>
            </w:pPr>
            <w:r>
              <w:lastRenderedPageBreak/>
              <w:t xml:space="preserve">Report No.: A57254, Report includes Trial Nos.: 96.0122, Edition Number: M-140993-01-1, EPA MRID No.: 45108806 </w:t>
            </w:r>
          </w:p>
          <w:p w:rsidR="00606396" w:rsidRDefault="00606396" w:rsidP="00606396">
            <w:pPr>
              <w:pStyle w:val="RepTable"/>
            </w:pPr>
            <w:r>
              <w:t xml:space="preserve">Date: 1996-07-22 </w:t>
            </w:r>
          </w:p>
          <w:p w:rsidR="00FE6385" w:rsidRPr="00FE6385" w:rsidRDefault="00FE6385" w:rsidP="00FE6385">
            <w:pPr>
              <w:pStyle w:val="RepTable"/>
            </w:pPr>
            <w:r w:rsidRPr="00FE6385">
              <w:t>GLP/GEP: Yes</w:t>
            </w:r>
          </w:p>
          <w:p w:rsidR="00606396" w:rsidRPr="00B27D39" w:rsidRDefault="00FE6385" w:rsidP="00FE6385">
            <w:pPr>
              <w:pStyle w:val="RepTable"/>
            </w:pPr>
            <w:r w:rsidRPr="00FE6385">
              <w:rPr>
                <w:lang w:val="en-US"/>
              </w:rPr>
              <w:t>Unpublished</w:t>
            </w:r>
          </w:p>
        </w:tc>
        <w:tc>
          <w:tcPr>
            <w:tcW w:w="360" w:type="pct"/>
          </w:tcPr>
          <w:p w:rsidR="00606396" w:rsidRPr="00B27D39" w:rsidRDefault="00606396" w:rsidP="00606396">
            <w:pPr>
              <w:pStyle w:val="RepTable"/>
              <w:jc w:val="center"/>
            </w:pPr>
            <w:r w:rsidRPr="00AF0722">
              <w:lastRenderedPageBreak/>
              <w:t xml:space="preserve">Y </w:t>
            </w:r>
          </w:p>
        </w:tc>
        <w:tc>
          <w:tcPr>
            <w:tcW w:w="439" w:type="pct"/>
          </w:tcPr>
          <w:p w:rsidR="00606396" w:rsidRPr="00B27D39" w:rsidRDefault="00606396" w:rsidP="00606396">
            <w:pPr>
              <w:pStyle w:val="RepTable"/>
              <w:jc w:val="center"/>
            </w:pPr>
            <w:r w:rsidRPr="00AF0722">
              <w:t xml:space="preserve">Bayer CropScience </w:t>
            </w:r>
          </w:p>
        </w:tc>
      </w:tr>
      <w:tr w:rsidR="00D32BA7" w:rsidRPr="00B27D39" w:rsidTr="00195EDC">
        <w:tc>
          <w:tcPr>
            <w:tcW w:w="347" w:type="pct"/>
          </w:tcPr>
          <w:p w:rsidR="00D32BA7" w:rsidRDefault="00D32BA7" w:rsidP="00D32BA7">
            <w:pPr>
              <w:pStyle w:val="RepTable"/>
            </w:pPr>
            <w:r>
              <w:lastRenderedPageBreak/>
              <w:t xml:space="preserve">KCA </w:t>
            </w:r>
          </w:p>
          <w:p w:rsidR="00D32BA7" w:rsidRPr="00B27D39" w:rsidRDefault="00D32BA7" w:rsidP="00D32BA7">
            <w:pPr>
              <w:pStyle w:val="RepTable"/>
            </w:pPr>
            <w:r>
              <w:t>5.2.7/01</w:t>
            </w:r>
          </w:p>
        </w:tc>
        <w:tc>
          <w:tcPr>
            <w:tcW w:w="636" w:type="pct"/>
          </w:tcPr>
          <w:p w:rsidR="00D32BA7" w:rsidRPr="00FF3C47" w:rsidRDefault="00D32BA7" w:rsidP="00D32BA7">
            <w:pPr>
              <w:pStyle w:val="RepTable"/>
              <w:rPr>
                <w:highlight w:val="black"/>
              </w:rPr>
            </w:pPr>
            <w:r w:rsidRPr="00FF3C47">
              <w:rPr>
                <w:highlight w:val="black"/>
              </w:rPr>
              <w:t>Heppenheimer, A.</w:t>
            </w:r>
          </w:p>
        </w:tc>
        <w:tc>
          <w:tcPr>
            <w:tcW w:w="270" w:type="pct"/>
          </w:tcPr>
          <w:p w:rsidR="00D32BA7" w:rsidRPr="00FF3C47" w:rsidRDefault="00D32BA7" w:rsidP="00D32BA7">
            <w:pPr>
              <w:pStyle w:val="RepTable"/>
              <w:jc w:val="center"/>
              <w:rPr>
                <w:highlight w:val="black"/>
              </w:rPr>
            </w:pPr>
            <w:r w:rsidRPr="00FF3C47">
              <w:rPr>
                <w:highlight w:val="black"/>
              </w:rPr>
              <w:t>2013</w:t>
            </w:r>
          </w:p>
        </w:tc>
        <w:tc>
          <w:tcPr>
            <w:tcW w:w="2948" w:type="pct"/>
          </w:tcPr>
          <w:p w:rsidR="00D32BA7" w:rsidRDefault="00D32BA7" w:rsidP="00D32BA7">
            <w:pPr>
              <w:pStyle w:val="RepTable"/>
            </w:pPr>
            <w:r>
              <w:t xml:space="preserve">Iodosulfuron-methyl sodium TC: Cytotoxicity assay in vitro with BALB/c 3T3 cells: Neutral Red (NR) test during simultaneous irradiation with artificial sunlight </w:t>
            </w:r>
          </w:p>
          <w:p w:rsidR="00D32BA7" w:rsidRDefault="00D32BA7" w:rsidP="00D32BA7">
            <w:pPr>
              <w:pStyle w:val="RepTable"/>
            </w:pPr>
            <w:r>
              <w:t xml:space="preserve">Harlan Cytotest Cell Research GmbH (Harlan CCR), Rossdorf, Germany Bayer CropScience, </w:t>
            </w:r>
          </w:p>
          <w:p w:rsidR="00D32BA7" w:rsidRDefault="00D32BA7" w:rsidP="00D32BA7">
            <w:pPr>
              <w:pStyle w:val="RepTable"/>
            </w:pPr>
            <w:r>
              <w:t xml:space="preserve">Report No.: 1579600, Edition Number: M-479598-01-1 </w:t>
            </w:r>
          </w:p>
          <w:p w:rsidR="00D32BA7" w:rsidRDefault="00D32BA7" w:rsidP="00D32BA7">
            <w:pPr>
              <w:pStyle w:val="RepTable"/>
            </w:pPr>
            <w:r>
              <w:t xml:space="preserve">Date: 2013-12-03 </w:t>
            </w:r>
          </w:p>
          <w:p w:rsidR="00FE6385" w:rsidRPr="00FE6385" w:rsidRDefault="00FE6385" w:rsidP="00FE6385">
            <w:pPr>
              <w:pStyle w:val="RepTable"/>
            </w:pPr>
            <w:r w:rsidRPr="00FE6385">
              <w:t>GLP/GEP: Yes</w:t>
            </w:r>
          </w:p>
          <w:p w:rsidR="00D32BA7" w:rsidRPr="00B27D39" w:rsidRDefault="00FE6385" w:rsidP="00FE6385">
            <w:pPr>
              <w:pStyle w:val="RepTable"/>
            </w:pPr>
            <w:r w:rsidRPr="00FE6385">
              <w:rPr>
                <w:lang w:val="en-US"/>
              </w:rPr>
              <w:t>Unpublished</w:t>
            </w:r>
          </w:p>
        </w:tc>
        <w:tc>
          <w:tcPr>
            <w:tcW w:w="360" w:type="pct"/>
          </w:tcPr>
          <w:p w:rsidR="00D32BA7" w:rsidRPr="00B27D39" w:rsidRDefault="00D32BA7" w:rsidP="00D32BA7">
            <w:pPr>
              <w:pStyle w:val="RepTable"/>
              <w:jc w:val="center"/>
            </w:pPr>
            <w:r w:rsidRPr="00A1344B">
              <w:t xml:space="preserve">N </w:t>
            </w:r>
          </w:p>
        </w:tc>
        <w:tc>
          <w:tcPr>
            <w:tcW w:w="439" w:type="pct"/>
          </w:tcPr>
          <w:p w:rsidR="00D32BA7" w:rsidRPr="00B27D39" w:rsidRDefault="00D32BA7" w:rsidP="00D32BA7">
            <w:pPr>
              <w:pStyle w:val="RepTable"/>
              <w:jc w:val="center"/>
            </w:pPr>
            <w:r w:rsidRPr="00A1344B">
              <w:t xml:space="preserve">Bayer CropScience </w:t>
            </w:r>
          </w:p>
        </w:tc>
      </w:tr>
      <w:tr w:rsidR="005E6B90" w:rsidRPr="00B27D39" w:rsidTr="00195EDC">
        <w:tc>
          <w:tcPr>
            <w:tcW w:w="347" w:type="pct"/>
          </w:tcPr>
          <w:p w:rsidR="005E6B90" w:rsidRDefault="005E6B90" w:rsidP="005E6B90">
            <w:pPr>
              <w:pStyle w:val="RepTable"/>
            </w:pPr>
            <w:r>
              <w:t xml:space="preserve">KCA </w:t>
            </w:r>
          </w:p>
          <w:p w:rsidR="005E6B90" w:rsidRDefault="005E6B90" w:rsidP="005E6B90">
            <w:pPr>
              <w:pStyle w:val="RepTable"/>
            </w:pPr>
            <w:r>
              <w:t>5.3/01</w:t>
            </w:r>
          </w:p>
        </w:tc>
        <w:tc>
          <w:tcPr>
            <w:tcW w:w="636" w:type="pct"/>
          </w:tcPr>
          <w:p w:rsidR="005E6B90" w:rsidRPr="00FF3C47" w:rsidRDefault="000F03B2" w:rsidP="005E6B90">
            <w:pPr>
              <w:pStyle w:val="RepTable"/>
              <w:rPr>
                <w:highlight w:val="black"/>
              </w:rPr>
            </w:pPr>
            <w:r w:rsidRPr="00FF3C47">
              <w:rPr>
                <w:noProof w:val="0"/>
                <w:color w:val="000000"/>
                <w:kern w:val="2"/>
                <w:highlight w:val="black"/>
                <w:lang w:val="en-IE" w:eastAsia="en-IE"/>
              </w:rPr>
              <w:t>Anon</w:t>
            </w:r>
          </w:p>
        </w:tc>
        <w:tc>
          <w:tcPr>
            <w:tcW w:w="270" w:type="pct"/>
          </w:tcPr>
          <w:p w:rsidR="005E6B90" w:rsidRPr="00FF3C47" w:rsidRDefault="005E6B90" w:rsidP="005E6B90">
            <w:pPr>
              <w:pStyle w:val="RepTable"/>
              <w:jc w:val="center"/>
              <w:rPr>
                <w:highlight w:val="black"/>
              </w:rPr>
            </w:pPr>
            <w:r w:rsidRPr="00FF3C47">
              <w:rPr>
                <w:highlight w:val="black"/>
              </w:rPr>
              <w:t>1998</w:t>
            </w:r>
          </w:p>
        </w:tc>
        <w:tc>
          <w:tcPr>
            <w:tcW w:w="2948" w:type="pct"/>
          </w:tcPr>
          <w:p w:rsidR="005E6B90" w:rsidRDefault="005E6B90" w:rsidP="005E6B90">
            <w:pPr>
              <w:pStyle w:val="RepTable"/>
            </w:pPr>
            <w:r w:rsidRPr="005E6B90">
              <w:t>Dog 12 month oral (dietary) toxicity study AE F115008 (Hoe 115008) code:AE F115008 00 1C89 0001 xxxxxxxxxxxxxxxxx</w:t>
            </w:r>
          </w:p>
          <w:p w:rsidR="005E6B90" w:rsidRDefault="005E6B90" w:rsidP="005E6B90">
            <w:pPr>
              <w:pStyle w:val="RepTable"/>
            </w:pPr>
            <w:r>
              <w:t xml:space="preserve">Report No.: C000689, Report includes Trial Nos.: TOX94466, Edition Number: M-181091-01-1, EPA MRID No.: 45108810 </w:t>
            </w:r>
          </w:p>
          <w:p w:rsidR="005E6B90" w:rsidRDefault="005E6B90" w:rsidP="005E6B90">
            <w:pPr>
              <w:pStyle w:val="RepTable"/>
            </w:pPr>
            <w:r>
              <w:t xml:space="preserve">Date: 1998-08-20 </w:t>
            </w:r>
          </w:p>
          <w:p w:rsidR="00FE6385" w:rsidRPr="00FE6385" w:rsidRDefault="00FE6385" w:rsidP="00FE6385">
            <w:pPr>
              <w:pStyle w:val="RepTable"/>
            </w:pPr>
            <w:r w:rsidRPr="00FE6385">
              <w:t>GLP/GEP: Yes</w:t>
            </w:r>
          </w:p>
          <w:p w:rsidR="005E6B90" w:rsidRPr="00B27D39" w:rsidRDefault="00FE6385" w:rsidP="00FE6385">
            <w:pPr>
              <w:pStyle w:val="RepTable"/>
            </w:pPr>
            <w:r w:rsidRPr="00FE6385">
              <w:rPr>
                <w:lang w:val="en-US"/>
              </w:rPr>
              <w:t>Unpublished</w:t>
            </w:r>
          </w:p>
        </w:tc>
        <w:tc>
          <w:tcPr>
            <w:tcW w:w="360" w:type="pct"/>
          </w:tcPr>
          <w:p w:rsidR="005E6B90" w:rsidRPr="00B27D39" w:rsidRDefault="005E6B90" w:rsidP="005E6B90">
            <w:pPr>
              <w:pStyle w:val="RepTable"/>
              <w:jc w:val="center"/>
            </w:pPr>
            <w:r w:rsidRPr="004E5B37">
              <w:t xml:space="preserve">Y </w:t>
            </w:r>
          </w:p>
        </w:tc>
        <w:tc>
          <w:tcPr>
            <w:tcW w:w="439" w:type="pct"/>
          </w:tcPr>
          <w:p w:rsidR="005E6B90" w:rsidRPr="00B27D39" w:rsidRDefault="005E6B90" w:rsidP="005E6B90">
            <w:pPr>
              <w:pStyle w:val="RepTable"/>
              <w:jc w:val="center"/>
            </w:pPr>
            <w:r w:rsidRPr="004E5B37">
              <w:t xml:space="preserve">Bayer CropScience </w:t>
            </w:r>
          </w:p>
        </w:tc>
      </w:tr>
      <w:tr w:rsidR="005E6B90" w:rsidRPr="00B27D39" w:rsidTr="00195EDC">
        <w:tc>
          <w:tcPr>
            <w:tcW w:w="347" w:type="pct"/>
          </w:tcPr>
          <w:p w:rsidR="005E6B90" w:rsidRDefault="005E6B90" w:rsidP="005E6B90">
            <w:pPr>
              <w:pStyle w:val="RepTable"/>
            </w:pPr>
            <w:r>
              <w:t xml:space="preserve">KCA </w:t>
            </w:r>
          </w:p>
          <w:p w:rsidR="005E6B90" w:rsidRDefault="005E6B90" w:rsidP="005E6B90">
            <w:pPr>
              <w:pStyle w:val="RepTable"/>
            </w:pPr>
            <w:r>
              <w:t>5.3.1/01</w:t>
            </w:r>
          </w:p>
        </w:tc>
        <w:tc>
          <w:tcPr>
            <w:tcW w:w="636" w:type="pct"/>
          </w:tcPr>
          <w:p w:rsidR="005E6B90" w:rsidRPr="00FF3C47" w:rsidRDefault="000F03B2" w:rsidP="005E6B90">
            <w:pPr>
              <w:pStyle w:val="RepTable"/>
              <w:rPr>
                <w:highlight w:val="black"/>
              </w:rPr>
            </w:pPr>
            <w:r w:rsidRPr="00FF3C47">
              <w:rPr>
                <w:noProof w:val="0"/>
                <w:color w:val="000000"/>
                <w:kern w:val="2"/>
                <w:highlight w:val="black"/>
                <w:lang w:val="en-IE" w:eastAsia="en-IE"/>
              </w:rPr>
              <w:t>Anon</w:t>
            </w:r>
          </w:p>
        </w:tc>
        <w:tc>
          <w:tcPr>
            <w:tcW w:w="270" w:type="pct"/>
          </w:tcPr>
          <w:p w:rsidR="005E6B90" w:rsidRPr="00FF3C47" w:rsidRDefault="005E6B90" w:rsidP="005E6B90">
            <w:pPr>
              <w:pStyle w:val="RepTable"/>
              <w:jc w:val="center"/>
              <w:rPr>
                <w:highlight w:val="black"/>
              </w:rPr>
            </w:pPr>
            <w:r w:rsidRPr="00FF3C47">
              <w:rPr>
                <w:highlight w:val="black"/>
              </w:rPr>
              <w:t>1998</w:t>
            </w:r>
          </w:p>
        </w:tc>
        <w:tc>
          <w:tcPr>
            <w:tcW w:w="2948" w:type="pct"/>
          </w:tcPr>
          <w:p w:rsidR="005E6B90" w:rsidRDefault="005E6B90" w:rsidP="005E6B90">
            <w:pPr>
              <w:pStyle w:val="RepTable"/>
            </w:pPr>
            <w:r>
              <w:t xml:space="preserve">Dog 28-day dietary range-finding study Hoe 115008 (AE F115008) technical substances Code: Hoe 115008 00 ZC93 0001 xxxxxxxxxxxxxxxx </w:t>
            </w:r>
          </w:p>
          <w:p w:rsidR="005E6B90" w:rsidRDefault="005E6B90" w:rsidP="005E6B90">
            <w:pPr>
              <w:pStyle w:val="RepTable"/>
            </w:pPr>
            <w:r>
              <w:t xml:space="preserve">Report No.: C000688, Report includes Trial Nos.: TOX94463, Edition Number: M-181089-01-1, EPA MRID No.: 45108807 </w:t>
            </w:r>
          </w:p>
          <w:p w:rsidR="005E6B90" w:rsidRDefault="005E6B90" w:rsidP="005E6B90">
            <w:pPr>
              <w:pStyle w:val="RepTable"/>
            </w:pPr>
            <w:r>
              <w:t xml:space="preserve">Date: 1998-08-20 </w:t>
            </w:r>
          </w:p>
          <w:p w:rsidR="00FE6385" w:rsidRPr="00FE6385" w:rsidRDefault="00FE6385" w:rsidP="00FE6385">
            <w:pPr>
              <w:pStyle w:val="RepTable"/>
            </w:pPr>
            <w:r w:rsidRPr="00FE6385">
              <w:t>GLP/GEP: Yes</w:t>
            </w:r>
          </w:p>
          <w:p w:rsidR="005E6B90" w:rsidRPr="00B27D39" w:rsidRDefault="00FE6385" w:rsidP="00FE6385">
            <w:pPr>
              <w:pStyle w:val="RepTable"/>
            </w:pPr>
            <w:r w:rsidRPr="00FE6385">
              <w:rPr>
                <w:lang w:val="en-US"/>
              </w:rPr>
              <w:t>Unpublished</w:t>
            </w:r>
          </w:p>
        </w:tc>
        <w:tc>
          <w:tcPr>
            <w:tcW w:w="360" w:type="pct"/>
          </w:tcPr>
          <w:p w:rsidR="005E6B90" w:rsidRPr="00B27D39" w:rsidRDefault="005E6B90" w:rsidP="005E6B90">
            <w:pPr>
              <w:pStyle w:val="RepTable"/>
              <w:jc w:val="center"/>
            </w:pPr>
            <w:r w:rsidRPr="00D84C56">
              <w:t xml:space="preserve">Y </w:t>
            </w:r>
          </w:p>
        </w:tc>
        <w:tc>
          <w:tcPr>
            <w:tcW w:w="439" w:type="pct"/>
          </w:tcPr>
          <w:p w:rsidR="005E6B90" w:rsidRPr="00B27D39" w:rsidRDefault="005E6B90" w:rsidP="005E6B90">
            <w:pPr>
              <w:pStyle w:val="RepTable"/>
              <w:jc w:val="center"/>
            </w:pPr>
            <w:r w:rsidRPr="00D84C56">
              <w:t xml:space="preserve">Bayer CropScience </w:t>
            </w:r>
          </w:p>
        </w:tc>
      </w:tr>
      <w:tr w:rsidR="005E6B90" w:rsidRPr="00B27D39" w:rsidTr="00195EDC">
        <w:tc>
          <w:tcPr>
            <w:tcW w:w="347" w:type="pct"/>
          </w:tcPr>
          <w:p w:rsidR="005E6B90" w:rsidRDefault="005E6B90" w:rsidP="005E6B90">
            <w:pPr>
              <w:pStyle w:val="RepTable"/>
            </w:pPr>
            <w:r>
              <w:t xml:space="preserve">KCA </w:t>
            </w:r>
          </w:p>
          <w:p w:rsidR="005E6B90" w:rsidRDefault="005E6B90" w:rsidP="005E6B90">
            <w:pPr>
              <w:pStyle w:val="RepTable"/>
            </w:pPr>
            <w:r>
              <w:t>5.3.2/01</w:t>
            </w:r>
          </w:p>
        </w:tc>
        <w:tc>
          <w:tcPr>
            <w:tcW w:w="636" w:type="pct"/>
          </w:tcPr>
          <w:p w:rsidR="005E6B90" w:rsidRPr="00FF3C47" w:rsidRDefault="000F03B2" w:rsidP="005E6B90">
            <w:pPr>
              <w:pStyle w:val="RepTable"/>
              <w:rPr>
                <w:highlight w:val="black"/>
              </w:rPr>
            </w:pPr>
            <w:r w:rsidRPr="00FF3C47">
              <w:rPr>
                <w:noProof w:val="0"/>
                <w:color w:val="000000"/>
                <w:kern w:val="2"/>
                <w:highlight w:val="black"/>
                <w:lang w:val="en-IE" w:eastAsia="en-IE"/>
              </w:rPr>
              <w:t>Anon</w:t>
            </w:r>
          </w:p>
        </w:tc>
        <w:tc>
          <w:tcPr>
            <w:tcW w:w="270" w:type="pct"/>
          </w:tcPr>
          <w:p w:rsidR="005E6B90" w:rsidRPr="00FF3C47" w:rsidRDefault="005E6B90" w:rsidP="005E6B90">
            <w:pPr>
              <w:pStyle w:val="RepTable"/>
              <w:jc w:val="center"/>
              <w:rPr>
                <w:highlight w:val="black"/>
              </w:rPr>
            </w:pPr>
            <w:r w:rsidRPr="00FF3C47">
              <w:rPr>
                <w:highlight w:val="black"/>
              </w:rPr>
              <w:t>1997</w:t>
            </w:r>
          </w:p>
        </w:tc>
        <w:tc>
          <w:tcPr>
            <w:tcW w:w="2948" w:type="pct"/>
          </w:tcPr>
          <w:p w:rsidR="005E6B90" w:rsidRDefault="005E6B90" w:rsidP="005E6B90">
            <w:pPr>
              <w:pStyle w:val="RepTable"/>
            </w:pPr>
            <w:r>
              <w:t xml:space="preserve">90-day dietary repeat dose study on rat with 4 week regression Hoe 115008 93.8 % w/w  Code: Hoe 115008 00 ZC93 </w:t>
            </w:r>
          </w:p>
          <w:p w:rsidR="005E6B90" w:rsidRDefault="005E6B90" w:rsidP="005E6B90">
            <w:pPr>
              <w:pStyle w:val="RepTable"/>
            </w:pPr>
            <w:r>
              <w:t xml:space="preserve">0001 xxxxxxxxxxxxxxxxxxxxx </w:t>
            </w:r>
          </w:p>
          <w:p w:rsidR="005E6B90" w:rsidRDefault="005E6B90" w:rsidP="005E6B90">
            <w:pPr>
              <w:pStyle w:val="RepTable"/>
            </w:pPr>
            <w:r>
              <w:t xml:space="preserve">Report No.: A58942,  Report includes Trial Nos.: TOX94238, Edition Number: M-142651-01-1, EPA MRID No.: 45133408 </w:t>
            </w:r>
          </w:p>
          <w:p w:rsidR="005E6B90" w:rsidRDefault="005E6B90" w:rsidP="005E6B90">
            <w:pPr>
              <w:pStyle w:val="RepTable"/>
            </w:pPr>
            <w:r>
              <w:lastRenderedPageBreak/>
              <w:t xml:space="preserve">Date: 1997-06-19 </w:t>
            </w:r>
          </w:p>
          <w:p w:rsidR="00FE6385" w:rsidRPr="00FE6385" w:rsidRDefault="00FE6385" w:rsidP="00FE6385">
            <w:pPr>
              <w:pStyle w:val="RepTable"/>
            </w:pPr>
            <w:r w:rsidRPr="00FE6385">
              <w:t>GLP/GEP: Yes</w:t>
            </w:r>
          </w:p>
          <w:p w:rsidR="005E6B90" w:rsidRPr="00B27D39" w:rsidRDefault="00FE6385" w:rsidP="00FE6385">
            <w:pPr>
              <w:pStyle w:val="RepTable"/>
            </w:pPr>
            <w:r w:rsidRPr="00FE6385">
              <w:rPr>
                <w:lang w:val="en-US"/>
              </w:rPr>
              <w:t>Unpublished</w:t>
            </w:r>
          </w:p>
        </w:tc>
        <w:tc>
          <w:tcPr>
            <w:tcW w:w="360" w:type="pct"/>
          </w:tcPr>
          <w:p w:rsidR="005E6B90" w:rsidRPr="00B27D39" w:rsidRDefault="005E6B90" w:rsidP="005E6B90">
            <w:pPr>
              <w:pStyle w:val="RepTable"/>
              <w:jc w:val="center"/>
            </w:pPr>
            <w:r w:rsidRPr="0062789D">
              <w:lastRenderedPageBreak/>
              <w:t xml:space="preserve">Y </w:t>
            </w:r>
          </w:p>
        </w:tc>
        <w:tc>
          <w:tcPr>
            <w:tcW w:w="439" w:type="pct"/>
          </w:tcPr>
          <w:p w:rsidR="005E6B90" w:rsidRPr="00B27D39" w:rsidRDefault="005E6B90" w:rsidP="005E6B90">
            <w:pPr>
              <w:pStyle w:val="RepTable"/>
              <w:jc w:val="center"/>
            </w:pPr>
            <w:r w:rsidRPr="0062789D">
              <w:t xml:space="preserve">Bayer CropScience </w:t>
            </w:r>
          </w:p>
        </w:tc>
      </w:tr>
      <w:tr w:rsidR="005E6B90" w:rsidRPr="00B27D39" w:rsidTr="00195EDC">
        <w:tc>
          <w:tcPr>
            <w:tcW w:w="347" w:type="pct"/>
          </w:tcPr>
          <w:p w:rsidR="005E6B90" w:rsidRDefault="005E6B90" w:rsidP="005E6B90">
            <w:pPr>
              <w:pStyle w:val="RepTable"/>
            </w:pPr>
            <w:r>
              <w:lastRenderedPageBreak/>
              <w:t xml:space="preserve">KCA </w:t>
            </w:r>
          </w:p>
          <w:p w:rsidR="005E6B90" w:rsidRDefault="005E6B90" w:rsidP="005E6B90">
            <w:pPr>
              <w:pStyle w:val="RepTable"/>
            </w:pPr>
            <w:r>
              <w:t>5.3.2/02</w:t>
            </w:r>
          </w:p>
        </w:tc>
        <w:tc>
          <w:tcPr>
            <w:tcW w:w="636" w:type="pct"/>
          </w:tcPr>
          <w:p w:rsidR="005E6B90" w:rsidRPr="00FF3C47" w:rsidRDefault="000F03B2" w:rsidP="005E6B90">
            <w:pPr>
              <w:pStyle w:val="RepTable"/>
              <w:rPr>
                <w:highlight w:val="black"/>
              </w:rPr>
            </w:pPr>
            <w:r w:rsidRPr="00FF3C47">
              <w:rPr>
                <w:noProof w:val="0"/>
                <w:color w:val="000000"/>
                <w:kern w:val="2"/>
                <w:highlight w:val="black"/>
                <w:lang w:val="en-IE" w:eastAsia="en-IE"/>
              </w:rPr>
              <w:t>Anon</w:t>
            </w:r>
          </w:p>
        </w:tc>
        <w:tc>
          <w:tcPr>
            <w:tcW w:w="270" w:type="pct"/>
          </w:tcPr>
          <w:p w:rsidR="005E6B90" w:rsidRPr="00FF3C47" w:rsidRDefault="005E6B90" w:rsidP="005E6B90">
            <w:pPr>
              <w:pStyle w:val="RepTable"/>
              <w:jc w:val="center"/>
              <w:rPr>
                <w:highlight w:val="black"/>
              </w:rPr>
            </w:pPr>
            <w:r w:rsidRPr="00FF3C47">
              <w:rPr>
                <w:highlight w:val="black"/>
              </w:rPr>
              <w:t>1998</w:t>
            </w:r>
          </w:p>
        </w:tc>
        <w:tc>
          <w:tcPr>
            <w:tcW w:w="2948" w:type="pct"/>
          </w:tcPr>
          <w:p w:rsidR="005E6B90" w:rsidRDefault="005E6B90" w:rsidP="005E6B90">
            <w:pPr>
              <w:pStyle w:val="RepTable"/>
            </w:pPr>
            <w:r>
              <w:t xml:space="preserve">Dog 90-day oral (dietary ) toxicity study Hoe 115008 (AE F115008) technical substance Code: Hoe 115008 00 ZC89 0001 xxxxxxxxxxx </w:t>
            </w:r>
          </w:p>
          <w:p w:rsidR="005E6B90" w:rsidRDefault="005E6B90" w:rsidP="005E6B90">
            <w:pPr>
              <w:pStyle w:val="RepTable"/>
            </w:pPr>
            <w:r>
              <w:t xml:space="preserve">Report No.: C000173, Report includes Trial Nos.: Tox94465, Edition Number: M-180321-01-1, EPA MRID No.: 45108809 </w:t>
            </w:r>
          </w:p>
          <w:p w:rsidR="005E6B90" w:rsidRDefault="005E6B90" w:rsidP="005E6B90">
            <w:pPr>
              <w:pStyle w:val="RepTable"/>
            </w:pPr>
            <w:r>
              <w:t xml:space="preserve">Date: 1998-07-14 </w:t>
            </w:r>
          </w:p>
          <w:p w:rsidR="00FE6385" w:rsidRPr="00FE6385" w:rsidRDefault="00FE6385" w:rsidP="00FE6385">
            <w:pPr>
              <w:pStyle w:val="RepTable"/>
            </w:pPr>
            <w:r w:rsidRPr="00FE6385">
              <w:t>GLP/GEP: Yes</w:t>
            </w:r>
          </w:p>
          <w:p w:rsidR="005E6B90" w:rsidRPr="00B27D39" w:rsidRDefault="00FE6385" w:rsidP="00FE6385">
            <w:pPr>
              <w:pStyle w:val="RepTable"/>
            </w:pPr>
            <w:r w:rsidRPr="00FE6385">
              <w:rPr>
                <w:lang w:val="en-US"/>
              </w:rPr>
              <w:t>Unpublished</w:t>
            </w:r>
          </w:p>
        </w:tc>
        <w:tc>
          <w:tcPr>
            <w:tcW w:w="360" w:type="pct"/>
          </w:tcPr>
          <w:p w:rsidR="005E6B90" w:rsidRPr="00B27D39" w:rsidRDefault="005E6B90" w:rsidP="005E6B90">
            <w:pPr>
              <w:pStyle w:val="RepTable"/>
              <w:jc w:val="center"/>
            </w:pPr>
            <w:r w:rsidRPr="000D5314">
              <w:t xml:space="preserve">Y </w:t>
            </w:r>
          </w:p>
        </w:tc>
        <w:tc>
          <w:tcPr>
            <w:tcW w:w="439" w:type="pct"/>
          </w:tcPr>
          <w:p w:rsidR="005E6B90" w:rsidRPr="00B27D39" w:rsidRDefault="005E6B90" w:rsidP="005E6B90">
            <w:pPr>
              <w:pStyle w:val="RepTable"/>
              <w:jc w:val="center"/>
            </w:pPr>
            <w:r w:rsidRPr="000D5314">
              <w:t xml:space="preserve">Bayer CropScience </w:t>
            </w:r>
          </w:p>
        </w:tc>
      </w:tr>
      <w:tr w:rsidR="00882BF5" w:rsidRPr="00B27D39" w:rsidTr="00195EDC">
        <w:tc>
          <w:tcPr>
            <w:tcW w:w="347" w:type="pct"/>
          </w:tcPr>
          <w:p w:rsidR="00882BF5" w:rsidRDefault="00882BF5" w:rsidP="00882BF5">
            <w:pPr>
              <w:pStyle w:val="RepTable"/>
            </w:pPr>
            <w:r>
              <w:t xml:space="preserve">KCA </w:t>
            </w:r>
          </w:p>
          <w:p w:rsidR="00882BF5" w:rsidRDefault="00882BF5" w:rsidP="00882BF5">
            <w:pPr>
              <w:pStyle w:val="RepTable"/>
            </w:pPr>
            <w:r>
              <w:t>5.3.2 /03</w:t>
            </w:r>
          </w:p>
        </w:tc>
        <w:tc>
          <w:tcPr>
            <w:tcW w:w="636" w:type="pct"/>
          </w:tcPr>
          <w:p w:rsidR="00882BF5" w:rsidRPr="00FF3C47" w:rsidRDefault="000F03B2" w:rsidP="00882BF5">
            <w:pPr>
              <w:pStyle w:val="RepTable"/>
              <w:rPr>
                <w:highlight w:val="black"/>
              </w:rPr>
            </w:pPr>
            <w:r w:rsidRPr="00FF3C47">
              <w:rPr>
                <w:noProof w:val="0"/>
                <w:color w:val="000000"/>
                <w:kern w:val="2"/>
                <w:highlight w:val="black"/>
                <w:lang w:val="en-IE" w:eastAsia="en-IE"/>
              </w:rPr>
              <w:t>Anon</w:t>
            </w:r>
          </w:p>
        </w:tc>
        <w:tc>
          <w:tcPr>
            <w:tcW w:w="270" w:type="pct"/>
          </w:tcPr>
          <w:p w:rsidR="00882BF5" w:rsidRPr="00FF3C47" w:rsidRDefault="00882BF5" w:rsidP="00882BF5">
            <w:pPr>
              <w:pStyle w:val="RepTable"/>
              <w:jc w:val="center"/>
              <w:rPr>
                <w:highlight w:val="black"/>
              </w:rPr>
            </w:pPr>
            <w:r w:rsidRPr="00FF3C47">
              <w:rPr>
                <w:highlight w:val="black"/>
              </w:rPr>
              <w:t>1997</w:t>
            </w:r>
          </w:p>
        </w:tc>
        <w:tc>
          <w:tcPr>
            <w:tcW w:w="2948" w:type="pct"/>
          </w:tcPr>
          <w:p w:rsidR="00882BF5" w:rsidRDefault="00882BF5" w:rsidP="00882BF5">
            <w:pPr>
              <w:pStyle w:val="RepTable"/>
            </w:pPr>
            <w:r>
              <w:t xml:space="preserve">Mouse 90-day dietary repeat dose study (report and addendum) Hoe 115008 93.8 % w/w Code: Hoe 115008 00 ZC93 0001 xxxxxxxxxxxxxxxxxxxxxx </w:t>
            </w:r>
          </w:p>
          <w:p w:rsidR="00882BF5" w:rsidRDefault="00882BF5" w:rsidP="00882BF5">
            <w:pPr>
              <w:pStyle w:val="RepTable"/>
            </w:pPr>
            <w:r>
              <w:t xml:space="preserve">Report No.: A59401, Report includes Trial Nos.: TOX/94236, Edition Number: M-143075-01-1, EPA MRID No.: 45108808 </w:t>
            </w:r>
          </w:p>
          <w:p w:rsidR="00882BF5" w:rsidRDefault="00882BF5" w:rsidP="00882BF5">
            <w:pPr>
              <w:pStyle w:val="RepTable"/>
            </w:pPr>
            <w:r>
              <w:t xml:space="preserve">Date: 1997-10-07 </w:t>
            </w:r>
          </w:p>
          <w:p w:rsidR="00FE6385" w:rsidRPr="00FE6385" w:rsidRDefault="00FE6385" w:rsidP="00FE6385">
            <w:pPr>
              <w:pStyle w:val="RepTable"/>
            </w:pPr>
            <w:r w:rsidRPr="00FE6385">
              <w:t>GLP/GEP: Yes</w:t>
            </w:r>
          </w:p>
          <w:p w:rsidR="00882BF5" w:rsidRPr="00B27D39" w:rsidRDefault="00FE6385" w:rsidP="00FE6385">
            <w:pPr>
              <w:pStyle w:val="RepTable"/>
            </w:pPr>
            <w:r w:rsidRPr="00FE6385">
              <w:rPr>
                <w:lang w:val="en-US"/>
              </w:rPr>
              <w:t>Unpublished</w:t>
            </w:r>
          </w:p>
        </w:tc>
        <w:tc>
          <w:tcPr>
            <w:tcW w:w="360" w:type="pct"/>
          </w:tcPr>
          <w:p w:rsidR="00882BF5" w:rsidRPr="00B27D39" w:rsidRDefault="00882BF5" w:rsidP="00882BF5">
            <w:pPr>
              <w:pStyle w:val="RepTable"/>
              <w:jc w:val="center"/>
            </w:pPr>
            <w:r w:rsidRPr="00462E31">
              <w:t xml:space="preserve">Y </w:t>
            </w:r>
          </w:p>
        </w:tc>
        <w:tc>
          <w:tcPr>
            <w:tcW w:w="439" w:type="pct"/>
          </w:tcPr>
          <w:p w:rsidR="00882BF5" w:rsidRPr="00B27D39" w:rsidRDefault="00882BF5" w:rsidP="00882BF5">
            <w:pPr>
              <w:pStyle w:val="RepTable"/>
              <w:jc w:val="center"/>
            </w:pPr>
            <w:r w:rsidRPr="00462E31">
              <w:t xml:space="preserve">Bayer CropScience </w:t>
            </w:r>
          </w:p>
        </w:tc>
      </w:tr>
      <w:tr w:rsidR="00882BF5" w:rsidRPr="00B27D39" w:rsidTr="00195EDC">
        <w:tc>
          <w:tcPr>
            <w:tcW w:w="347" w:type="pct"/>
          </w:tcPr>
          <w:p w:rsidR="00882BF5" w:rsidRDefault="00882BF5" w:rsidP="00882BF5">
            <w:pPr>
              <w:pStyle w:val="RepTable"/>
            </w:pPr>
            <w:r>
              <w:t xml:space="preserve">KCA </w:t>
            </w:r>
          </w:p>
          <w:p w:rsidR="00882BF5" w:rsidRDefault="00882BF5" w:rsidP="00882BF5">
            <w:pPr>
              <w:pStyle w:val="RepTable"/>
            </w:pPr>
            <w:r>
              <w:t>5.4.1 /01</w:t>
            </w:r>
          </w:p>
        </w:tc>
        <w:tc>
          <w:tcPr>
            <w:tcW w:w="636" w:type="pct"/>
          </w:tcPr>
          <w:p w:rsidR="00882BF5" w:rsidRPr="00FF3C47" w:rsidRDefault="00882BF5" w:rsidP="00882BF5">
            <w:pPr>
              <w:pStyle w:val="RepTable"/>
              <w:rPr>
                <w:highlight w:val="black"/>
              </w:rPr>
            </w:pPr>
            <w:r w:rsidRPr="00FF3C47">
              <w:rPr>
                <w:highlight w:val="black"/>
              </w:rPr>
              <w:t>Stammberger, I.</w:t>
            </w:r>
          </w:p>
        </w:tc>
        <w:tc>
          <w:tcPr>
            <w:tcW w:w="270" w:type="pct"/>
          </w:tcPr>
          <w:p w:rsidR="00882BF5" w:rsidRPr="00FF3C47" w:rsidRDefault="00882BF5" w:rsidP="00882BF5">
            <w:pPr>
              <w:pStyle w:val="RepTable"/>
              <w:jc w:val="center"/>
              <w:rPr>
                <w:highlight w:val="black"/>
              </w:rPr>
            </w:pPr>
            <w:r w:rsidRPr="00FF3C47">
              <w:rPr>
                <w:highlight w:val="black"/>
              </w:rPr>
              <w:t>1993</w:t>
            </w:r>
          </w:p>
        </w:tc>
        <w:tc>
          <w:tcPr>
            <w:tcW w:w="2948" w:type="pct"/>
          </w:tcPr>
          <w:p w:rsidR="00882BF5" w:rsidRDefault="00882BF5" w:rsidP="00882BF5">
            <w:pPr>
              <w:pStyle w:val="RepTable"/>
            </w:pPr>
            <w:r>
              <w:t xml:space="preserve">Mutagenic potential in strains of Salmonella typhimurium (Ames test) and Escherichia coli Hoe 115008 substance, technical Code: Hoe 115008 00 ZC97 0001 </w:t>
            </w:r>
          </w:p>
          <w:p w:rsidR="00882BF5" w:rsidRDefault="00882BF5" w:rsidP="00882BF5">
            <w:pPr>
              <w:pStyle w:val="RepTable"/>
            </w:pPr>
            <w:r>
              <w:t xml:space="preserve">Hoechst AG, Frankfurt am Main, Germany </w:t>
            </w:r>
          </w:p>
          <w:p w:rsidR="00882BF5" w:rsidRDefault="00882BF5" w:rsidP="00882BF5">
            <w:pPr>
              <w:pStyle w:val="RepTable"/>
            </w:pPr>
            <w:r>
              <w:t xml:space="preserve">Bayer CropScience, Report No.: A51035, Edition Number: M-132017-01-1, EPA MRID No.: 45133409 </w:t>
            </w:r>
          </w:p>
          <w:p w:rsidR="00882BF5" w:rsidRDefault="00882BF5" w:rsidP="00882BF5">
            <w:pPr>
              <w:pStyle w:val="RepTable"/>
            </w:pPr>
            <w:r>
              <w:t xml:space="preserve">Date: 1993-07-07 </w:t>
            </w:r>
          </w:p>
          <w:p w:rsidR="00FE6385" w:rsidRPr="00FE6385" w:rsidRDefault="00FE6385" w:rsidP="00FE6385">
            <w:pPr>
              <w:pStyle w:val="RepTable"/>
            </w:pPr>
            <w:r w:rsidRPr="00FE6385">
              <w:t>GLP/GEP: Yes</w:t>
            </w:r>
          </w:p>
          <w:p w:rsidR="00882BF5" w:rsidRPr="00B27D39" w:rsidRDefault="00FE6385" w:rsidP="00FE6385">
            <w:pPr>
              <w:pStyle w:val="RepTable"/>
            </w:pPr>
            <w:r w:rsidRPr="00FE6385">
              <w:rPr>
                <w:lang w:val="en-US"/>
              </w:rPr>
              <w:t>Unpublished</w:t>
            </w:r>
          </w:p>
        </w:tc>
        <w:tc>
          <w:tcPr>
            <w:tcW w:w="360" w:type="pct"/>
          </w:tcPr>
          <w:p w:rsidR="00882BF5" w:rsidRPr="00B27D39" w:rsidRDefault="00882BF5" w:rsidP="00882BF5">
            <w:pPr>
              <w:pStyle w:val="RepTable"/>
              <w:jc w:val="center"/>
            </w:pPr>
            <w:r w:rsidRPr="002A335E">
              <w:t xml:space="preserve">N </w:t>
            </w:r>
          </w:p>
        </w:tc>
        <w:tc>
          <w:tcPr>
            <w:tcW w:w="439" w:type="pct"/>
          </w:tcPr>
          <w:p w:rsidR="00882BF5" w:rsidRPr="00B27D39" w:rsidRDefault="00882BF5" w:rsidP="00882BF5">
            <w:pPr>
              <w:pStyle w:val="RepTable"/>
              <w:jc w:val="center"/>
            </w:pPr>
            <w:r w:rsidRPr="002A335E">
              <w:t xml:space="preserve">Bayer CropScience </w:t>
            </w:r>
          </w:p>
        </w:tc>
      </w:tr>
      <w:tr w:rsidR="00882BF5" w:rsidRPr="00B27D39" w:rsidTr="00195EDC">
        <w:tc>
          <w:tcPr>
            <w:tcW w:w="347" w:type="pct"/>
          </w:tcPr>
          <w:p w:rsidR="00882BF5" w:rsidRDefault="00882BF5" w:rsidP="00882BF5">
            <w:pPr>
              <w:pStyle w:val="RepTable"/>
            </w:pPr>
            <w:r>
              <w:t xml:space="preserve">KCA </w:t>
            </w:r>
          </w:p>
          <w:p w:rsidR="00882BF5" w:rsidRDefault="00882BF5" w:rsidP="00882BF5">
            <w:pPr>
              <w:pStyle w:val="RepTable"/>
            </w:pPr>
            <w:r>
              <w:t>5.4.1 /02</w:t>
            </w:r>
          </w:p>
        </w:tc>
        <w:tc>
          <w:tcPr>
            <w:tcW w:w="636" w:type="pct"/>
          </w:tcPr>
          <w:p w:rsidR="00882BF5" w:rsidRPr="00FF3C47" w:rsidRDefault="000F03B2" w:rsidP="00882BF5">
            <w:pPr>
              <w:pStyle w:val="RepTable"/>
              <w:rPr>
                <w:highlight w:val="black"/>
              </w:rPr>
            </w:pPr>
            <w:r w:rsidRPr="00FF3C47">
              <w:rPr>
                <w:noProof w:val="0"/>
                <w:color w:val="000000"/>
                <w:kern w:val="2"/>
                <w:highlight w:val="black"/>
                <w:lang w:val="en-IE" w:eastAsia="en-IE"/>
              </w:rPr>
              <w:t>Anon</w:t>
            </w:r>
          </w:p>
        </w:tc>
        <w:tc>
          <w:tcPr>
            <w:tcW w:w="270" w:type="pct"/>
          </w:tcPr>
          <w:p w:rsidR="00882BF5" w:rsidRPr="00FF3C47" w:rsidRDefault="00882BF5" w:rsidP="00882BF5">
            <w:pPr>
              <w:pStyle w:val="RepTable"/>
              <w:jc w:val="center"/>
              <w:rPr>
                <w:highlight w:val="black"/>
              </w:rPr>
            </w:pPr>
            <w:r w:rsidRPr="00FF3C47">
              <w:rPr>
                <w:highlight w:val="black"/>
              </w:rPr>
              <w:t>1996</w:t>
            </w:r>
          </w:p>
        </w:tc>
        <w:tc>
          <w:tcPr>
            <w:tcW w:w="2948" w:type="pct"/>
          </w:tcPr>
          <w:p w:rsidR="00882BF5" w:rsidRDefault="00882BF5" w:rsidP="00882BF5">
            <w:pPr>
              <w:pStyle w:val="RepTable"/>
            </w:pPr>
            <w:r>
              <w:t xml:space="preserve">In vitro mammalian chromosome aberration test in V79 Chinese hamster cells Hoe 115008 substance, technical Code: Hoe 115008 00 ZC89 0001 xxxxxxxxxxxxxReport No.: A57511, Edition Number: M-141224-01-1, EPA MRID No.: 45108812 </w:t>
            </w:r>
          </w:p>
          <w:p w:rsidR="00882BF5" w:rsidRDefault="00882BF5" w:rsidP="00882BF5">
            <w:pPr>
              <w:pStyle w:val="RepTable"/>
            </w:pPr>
            <w:r>
              <w:t>Date: 1996-09-23</w:t>
            </w:r>
          </w:p>
          <w:p w:rsidR="00FE6385" w:rsidRPr="00FE6385" w:rsidRDefault="00FE6385" w:rsidP="00FE6385">
            <w:pPr>
              <w:pStyle w:val="RepTable"/>
            </w:pPr>
            <w:r w:rsidRPr="00FE6385">
              <w:t>GLP/GEP: Yes</w:t>
            </w:r>
          </w:p>
          <w:p w:rsidR="00882BF5" w:rsidRPr="00B27D39" w:rsidRDefault="00FE6385" w:rsidP="00FE6385">
            <w:pPr>
              <w:pStyle w:val="RepTable"/>
            </w:pPr>
            <w:r w:rsidRPr="00FE6385">
              <w:rPr>
                <w:lang w:val="en-US"/>
              </w:rPr>
              <w:t>Unpublished</w:t>
            </w:r>
          </w:p>
        </w:tc>
        <w:tc>
          <w:tcPr>
            <w:tcW w:w="360" w:type="pct"/>
          </w:tcPr>
          <w:p w:rsidR="00882BF5" w:rsidRPr="00B27D39" w:rsidRDefault="00882BF5" w:rsidP="00882BF5">
            <w:pPr>
              <w:pStyle w:val="RepTable"/>
              <w:jc w:val="center"/>
            </w:pPr>
            <w:r w:rsidRPr="005D1B8A">
              <w:t xml:space="preserve">N </w:t>
            </w:r>
          </w:p>
        </w:tc>
        <w:tc>
          <w:tcPr>
            <w:tcW w:w="439" w:type="pct"/>
          </w:tcPr>
          <w:p w:rsidR="00882BF5" w:rsidRPr="00B27D39" w:rsidRDefault="00882BF5" w:rsidP="00882BF5">
            <w:pPr>
              <w:pStyle w:val="RepTable"/>
              <w:jc w:val="center"/>
            </w:pPr>
            <w:r w:rsidRPr="005D1B8A">
              <w:t xml:space="preserve">Bayer CropScience </w:t>
            </w:r>
          </w:p>
        </w:tc>
      </w:tr>
      <w:tr w:rsidR="00882BF5" w:rsidRPr="00B27D39" w:rsidTr="00195EDC">
        <w:tc>
          <w:tcPr>
            <w:tcW w:w="347" w:type="pct"/>
          </w:tcPr>
          <w:p w:rsidR="00882BF5" w:rsidRDefault="00882BF5" w:rsidP="00882BF5">
            <w:pPr>
              <w:pStyle w:val="RepTable"/>
            </w:pPr>
            <w:r>
              <w:t xml:space="preserve">KCA </w:t>
            </w:r>
          </w:p>
          <w:p w:rsidR="00882BF5" w:rsidRDefault="00882BF5" w:rsidP="00882BF5">
            <w:pPr>
              <w:pStyle w:val="RepTable"/>
            </w:pPr>
            <w:r>
              <w:lastRenderedPageBreak/>
              <w:t>5.4.1 /03</w:t>
            </w:r>
          </w:p>
        </w:tc>
        <w:tc>
          <w:tcPr>
            <w:tcW w:w="636" w:type="pct"/>
          </w:tcPr>
          <w:p w:rsidR="00882BF5" w:rsidRPr="00FF3C47" w:rsidRDefault="000F03B2" w:rsidP="00882BF5">
            <w:pPr>
              <w:pStyle w:val="RepTable"/>
              <w:rPr>
                <w:highlight w:val="black"/>
              </w:rPr>
            </w:pPr>
            <w:r w:rsidRPr="00FF3C47">
              <w:rPr>
                <w:noProof w:val="0"/>
                <w:color w:val="000000"/>
                <w:kern w:val="2"/>
                <w:highlight w:val="black"/>
                <w:lang w:val="en-IE" w:eastAsia="en-IE"/>
              </w:rPr>
              <w:lastRenderedPageBreak/>
              <w:t>Anon</w:t>
            </w:r>
          </w:p>
        </w:tc>
        <w:tc>
          <w:tcPr>
            <w:tcW w:w="270" w:type="pct"/>
          </w:tcPr>
          <w:p w:rsidR="00882BF5" w:rsidRPr="00FF3C47" w:rsidRDefault="00882BF5" w:rsidP="00882BF5">
            <w:pPr>
              <w:pStyle w:val="RepTable"/>
              <w:jc w:val="center"/>
              <w:rPr>
                <w:highlight w:val="black"/>
              </w:rPr>
            </w:pPr>
            <w:r w:rsidRPr="00FF3C47">
              <w:rPr>
                <w:highlight w:val="black"/>
              </w:rPr>
              <w:t>1996</w:t>
            </w:r>
          </w:p>
        </w:tc>
        <w:tc>
          <w:tcPr>
            <w:tcW w:w="2948" w:type="pct"/>
          </w:tcPr>
          <w:p w:rsidR="00882BF5" w:rsidRDefault="00882BF5" w:rsidP="00882BF5">
            <w:pPr>
              <w:pStyle w:val="RepTable"/>
            </w:pPr>
            <w:r>
              <w:t xml:space="preserve">Detection of DNA strand breaks in primary hepatocytes of male rats in vitro UDS - test in primary rat </w:t>
            </w:r>
            <w:r>
              <w:lastRenderedPageBreak/>
              <w:t xml:space="preserve">hepatocytes </w:t>
            </w:r>
          </w:p>
          <w:p w:rsidR="00882BF5" w:rsidRDefault="00882BF5" w:rsidP="00882BF5">
            <w:pPr>
              <w:pStyle w:val="RepTable"/>
            </w:pPr>
            <w:r>
              <w:t>Hoe 115008 substance, technical Code: Hoe 115008 00 ZC89 0001 xxxxxxxxxxxxxx</w:t>
            </w:r>
          </w:p>
          <w:p w:rsidR="00882BF5" w:rsidRDefault="00882BF5" w:rsidP="00882BF5">
            <w:pPr>
              <w:pStyle w:val="RepTable"/>
            </w:pPr>
            <w:r>
              <w:t xml:space="preserve">Report No.: A57977, Edition Number: M-141703-01-1, EPA MRID No.: 45108813 </w:t>
            </w:r>
          </w:p>
          <w:p w:rsidR="00882BF5" w:rsidRDefault="00882BF5" w:rsidP="00882BF5">
            <w:pPr>
              <w:pStyle w:val="RepTable"/>
            </w:pPr>
            <w:r>
              <w:t xml:space="preserve">Date: 1996-10-28 </w:t>
            </w:r>
          </w:p>
          <w:p w:rsidR="00FE6385" w:rsidRPr="00FE6385" w:rsidRDefault="00FE6385" w:rsidP="00FE6385">
            <w:pPr>
              <w:pStyle w:val="RepTable"/>
            </w:pPr>
            <w:r w:rsidRPr="00FE6385">
              <w:t>GLP/GEP: Yes</w:t>
            </w:r>
          </w:p>
          <w:p w:rsidR="00882BF5" w:rsidRPr="00B27D39" w:rsidRDefault="00FE6385" w:rsidP="00FE6385">
            <w:pPr>
              <w:pStyle w:val="RepTable"/>
            </w:pPr>
            <w:r w:rsidRPr="00FE6385">
              <w:rPr>
                <w:lang w:val="en-US"/>
              </w:rPr>
              <w:t>Unpublished</w:t>
            </w:r>
          </w:p>
        </w:tc>
        <w:tc>
          <w:tcPr>
            <w:tcW w:w="360" w:type="pct"/>
          </w:tcPr>
          <w:p w:rsidR="00882BF5" w:rsidRPr="00B27D39" w:rsidRDefault="00882BF5" w:rsidP="00882BF5">
            <w:pPr>
              <w:pStyle w:val="RepTable"/>
              <w:jc w:val="center"/>
            </w:pPr>
            <w:r w:rsidRPr="005A2D4D">
              <w:lastRenderedPageBreak/>
              <w:t xml:space="preserve">N </w:t>
            </w:r>
          </w:p>
        </w:tc>
        <w:tc>
          <w:tcPr>
            <w:tcW w:w="439" w:type="pct"/>
          </w:tcPr>
          <w:p w:rsidR="00882BF5" w:rsidRPr="00B27D39" w:rsidRDefault="00882BF5" w:rsidP="00882BF5">
            <w:pPr>
              <w:pStyle w:val="RepTable"/>
              <w:jc w:val="center"/>
            </w:pPr>
            <w:r w:rsidRPr="005A2D4D">
              <w:t xml:space="preserve">Bayer </w:t>
            </w:r>
            <w:r w:rsidRPr="005A2D4D">
              <w:lastRenderedPageBreak/>
              <w:t xml:space="preserve">CropScience </w:t>
            </w:r>
          </w:p>
        </w:tc>
      </w:tr>
      <w:tr w:rsidR="000F3BDD" w:rsidRPr="00B27D39" w:rsidTr="00195EDC">
        <w:tc>
          <w:tcPr>
            <w:tcW w:w="347" w:type="pct"/>
          </w:tcPr>
          <w:p w:rsidR="000F3BDD" w:rsidRDefault="000F3BDD" w:rsidP="000F3BDD">
            <w:pPr>
              <w:pStyle w:val="RepTable"/>
            </w:pPr>
            <w:r>
              <w:lastRenderedPageBreak/>
              <w:t xml:space="preserve">KCA </w:t>
            </w:r>
          </w:p>
          <w:p w:rsidR="000F3BDD" w:rsidRDefault="000F3BDD" w:rsidP="000F3BDD">
            <w:pPr>
              <w:pStyle w:val="RepTable"/>
            </w:pPr>
            <w:r>
              <w:t>5.4.1 /04</w:t>
            </w:r>
          </w:p>
        </w:tc>
        <w:tc>
          <w:tcPr>
            <w:tcW w:w="636" w:type="pct"/>
          </w:tcPr>
          <w:p w:rsidR="000F3BDD" w:rsidRPr="00FF3C47" w:rsidRDefault="000F03B2" w:rsidP="000F3BDD">
            <w:pPr>
              <w:pStyle w:val="RepTable"/>
              <w:rPr>
                <w:highlight w:val="black"/>
              </w:rPr>
            </w:pPr>
            <w:r w:rsidRPr="00FF3C47">
              <w:rPr>
                <w:noProof w:val="0"/>
                <w:color w:val="000000"/>
                <w:kern w:val="2"/>
                <w:highlight w:val="black"/>
                <w:lang w:val="en-IE" w:eastAsia="en-IE"/>
              </w:rPr>
              <w:t>Anon</w:t>
            </w:r>
          </w:p>
        </w:tc>
        <w:tc>
          <w:tcPr>
            <w:tcW w:w="270" w:type="pct"/>
          </w:tcPr>
          <w:p w:rsidR="000F3BDD" w:rsidRPr="00FF3C47" w:rsidRDefault="000F3BDD" w:rsidP="000F3BDD">
            <w:pPr>
              <w:pStyle w:val="RepTable"/>
              <w:jc w:val="center"/>
              <w:rPr>
                <w:highlight w:val="black"/>
              </w:rPr>
            </w:pPr>
            <w:r w:rsidRPr="00FF3C47">
              <w:rPr>
                <w:highlight w:val="black"/>
              </w:rPr>
              <w:t>1996</w:t>
            </w:r>
          </w:p>
        </w:tc>
        <w:tc>
          <w:tcPr>
            <w:tcW w:w="2948" w:type="pct"/>
          </w:tcPr>
          <w:p w:rsidR="000F3BDD" w:rsidRDefault="000F3BDD" w:rsidP="000F3BDD">
            <w:pPr>
              <w:pStyle w:val="RepTable"/>
            </w:pPr>
            <w:r>
              <w:t>In vitro mammalian cell gene mutation test HPRT-test with V79 Chinese Hamster cells Hoe 115008 substance, technical Code: Hoe 115008 00 ZC89 0001 Xxxxxxxxxx</w:t>
            </w:r>
          </w:p>
          <w:p w:rsidR="000F3BDD" w:rsidRDefault="000F3BDD" w:rsidP="000F3BDD">
            <w:pPr>
              <w:pStyle w:val="RepTable"/>
            </w:pPr>
            <w:r>
              <w:t xml:space="preserve">Report No.: A57293, Edition Number: M-141032-01-1, EPA MRID No.: 45108811 </w:t>
            </w:r>
          </w:p>
          <w:p w:rsidR="000F3BDD" w:rsidRDefault="000F3BDD" w:rsidP="000F3BDD">
            <w:pPr>
              <w:pStyle w:val="RepTable"/>
            </w:pPr>
            <w:r>
              <w:t xml:space="preserve">Date: 1996-08-13 </w:t>
            </w:r>
          </w:p>
          <w:p w:rsidR="00FE6385" w:rsidRPr="00FE6385" w:rsidRDefault="00FE6385" w:rsidP="00FE6385">
            <w:pPr>
              <w:pStyle w:val="RepTable"/>
            </w:pPr>
            <w:r w:rsidRPr="00FE6385">
              <w:t>GLP/GEP: Yes</w:t>
            </w:r>
          </w:p>
          <w:p w:rsidR="000F3BDD" w:rsidRPr="00B27D39" w:rsidRDefault="00FE6385" w:rsidP="00FE6385">
            <w:pPr>
              <w:pStyle w:val="RepTable"/>
            </w:pPr>
            <w:r w:rsidRPr="00FE6385">
              <w:rPr>
                <w:lang w:val="en-US"/>
              </w:rPr>
              <w:t>Unpublished</w:t>
            </w:r>
          </w:p>
        </w:tc>
        <w:tc>
          <w:tcPr>
            <w:tcW w:w="360" w:type="pct"/>
          </w:tcPr>
          <w:p w:rsidR="000F3BDD" w:rsidRPr="00B27D39" w:rsidRDefault="000F3BDD" w:rsidP="000F3BDD">
            <w:pPr>
              <w:pStyle w:val="RepTable"/>
              <w:jc w:val="center"/>
            </w:pPr>
            <w:r w:rsidRPr="00436E53">
              <w:t xml:space="preserve">N </w:t>
            </w:r>
          </w:p>
        </w:tc>
        <w:tc>
          <w:tcPr>
            <w:tcW w:w="439" w:type="pct"/>
          </w:tcPr>
          <w:p w:rsidR="000F3BDD" w:rsidRPr="00B27D39" w:rsidRDefault="000F3BDD" w:rsidP="000F3BDD">
            <w:pPr>
              <w:pStyle w:val="RepTable"/>
              <w:jc w:val="center"/>
            </w:pPr>
            <w:r w:rsidRPr="00436E53">
              <w:t xml:space="preserve">Bayer CropScience </w:t>
            </w:r>
          </w:p>
        </w:tc>
      </w:tr>
      <w:tr w:rsidR="000F3BDD" w:rsidRPr="00B27D39" w:rsidTr="00195EDC">
        <w:tc>
          <w:tcPr>
            <w:tcW w:w="347" w:type="pct"/>
          </w:tcPr>
          <w:p w:rsidR="000F3BDD" w:rsidRDefault="000F3BDD" w:rsidP="000F3BDD">
            <w:pPr>
              <w:pStyle w:val="RepTable"/>
            </w:pPr>
            <w:r>
              <w:t xml:space="preserve">KCA </w:t>
            </w:r>
          </w:p>
          <w:p w:rsidR="000F3BDD" w:rsidRDefault="000F3BDD" w:rsidP="000F3BDD">
            <w:pPr>
              <w:pStyle w:val="RepTable"/>
            </w:pPr>
            <w:r>
              <w:t>5.4.2 /01</w:t>
            </w:r>
          </w:p>
        </w:tc>
        <w:tc>
          <w:tcPr>
            <w:tcW w:w="636" w:type="pct"/>
          </w:tcPr>
          <w:p w:rsidR="000F3BDD" w:rsidRPr="00FF3C47" w:rsidRDefault="000F03B2" w:rsidP="000F3BDD">
            <w:pPr>
              <w:pStyle w:val="RepTable"/>
              <w:rPr>
                <w:highlight w:val="black"/>
              </w:rPr>
            </w:pPr>
            <w:r w:rsidRPr="00FF3C47">
              <w:rPr>
                <w:noProof w:val="0"/>
                <w:color w:val="000000"/>
                <w:kern w:val="2"/>
                <w:highlight w:val="black"/>
                <w:lang w:val="en-IE" w:eastAsia="en-IE"/>
              </w:rPr>
              <w:t>Anon</w:t>
            </w:r>
          </w:p>
        </w:tc>
        <w:tc>
          <w:tcPr>
            <w:tcW w:w="270" w:type="pct"/>
          </w:tcPr>
          <w:p w:rsidR="000F3BDD" w:rsidRPr="00FF3C47" w:rsidRDefault="000F3BDD" w:rsidP="000F3BDD">
            <w:pPr>
              <w:pStyle w:val="RepTable"/>
              <w:jc w:val="center"/>
              <w:rPr>
                <w:highlight w:val="black"/>
              </w:rPr>
            </w:pPr>
            <w:r w:rsidRPr="00FF3C47">
              <w:rPr>
                <w:highlight w:val="black"/>
              </w:rPr>
              <w:t>199</w:t>
            </w:r>
            <w:r w:rsidR="00364872" w:rsidRPr="00FF3C47">
              <w:rPr>
                <w:highlight w:val="black"/>
              </w:rPr>
              <w:t>6</w:t>
            </w:r>
          </w:p>
        </w:tc>
        <w:tc>
          <w:tcPr>
            <w:tcW w:w="2948" w:type="pct"/>
          </w:tcPr>
          <w:p w:rsidR="00364872" w:rsidRDefault="00364872" w:rsidP="00364872">
            <w:pPr>
              <w:pStyle w:val="RepTable"/>
            </w:pPr>
            <w:r>
              <w:t xml:space="preserve">Mammalian erythrocyte micronucleus test in male and female NMRI mice Hoe 115008 substance, technical Code: Hoe 115008 00 ZC89 0001 xxxxxxxxxxxxxxxxxxxxxx </w:t>
            </w:r>
          </w:p>
          <w:p w:rsidR="00364872" w:rsidRDefault="00364872" w:rsidP="00364872">
            <w:pPr>
              <w:pStyle w:val="RepTable"/>
            </w:pPr>
            <w:r>
              <w:t xml:space="preserve">Report No.: A57253, Edition Number: M-140992-01-1, EPA MRID No.: 45108814 </w:t>
            </w:r>
          </w:p>
          <w:p w:rsidR="00364872" w:rsidRDefault="00364872" w:rsidP="00364872">
            <w:pPr>
              <w:pStyle w:val="RepTable"/>
            </w:pPr>
            <w:r>
              <w:t xml:space="preserve">Date: 1996-08-21 </w:t>
            </w:r>
          </w:p>
          <w:p w:rsidR="00FE6385" w:rsidRPr="00FE6385" w:rsidRDefault="00FE6385" w:rsidP="00FE6385">
            <w:pPr>
              <w:pStyle w:val="RepTable"/>
            </w:pPr>
            <w:r w:rsidRPr="00FE6385">
              <w:t>GLP/GEP: Yes</w:t>
            </w:r>
          </w:p>
          <w:p w:rsidR="000F3BDD" w:rsidRPr="00B27D39" w:rsidRDefault="00FE6385" w:rsidP="00FE6385">
            <w:pPr>
              <w:pStyle w:val="RepTable"/>
            </w:pPr>
            <w:r w:rsidRPr="00FE6385">
              <w:rPr>
                <w:lang w:val="en-US"/>
              </w:rPr>
              <w:t>Unpublished</w:t>
            </w:r>
          </w:p>
        </w:tc>
        <w:tc>
          <w:tcPr>
            <w:tcW w:w="360" w:type="pct"/>
          </w:tcPr>
          <w:p w:rsidR="000F3BDD" w:rsidRPr="00B27D39" w:rsidRDefault="000F3BDD" w:rsidP="000F3BDD">
            <w:pPr>
              <w:pStyle w:val="RepTable"/>
              <w:jc w:val="center"/>
            </w:pPr>
            <w:r w:rsidRPr="007562A0">
              <w:t xml:space="preserve">Y </w:t>
            </w:r>
          </w:p>
        </w:tc>
        <w:tc>
          <w:tcPr>
            <w:tcW w:w="439" w:type="pct"/>
          </w:tcPr>
          <w:p w:rsidR="000F3BDD" w:rsidRPr="00B27D39" w:rsidRDefault="000F3BDD" w:rsidP="000F3BDD">
            <w:pPr>
              <w:pStyle w:val="RepTable"/>
              <w:jc w:val="center"/>
            </w:pPr>
            <w:r w:rsidRPr="007562A0">
              <w:t xml:space="preserve">Bayer CropScience </w:t>
            </w:r>
          </w:p>
        </w:tc>
      </w:tr>
      <w:tr w:rsidR="00364872" w:rsidRPr="00B27D39" w:rsidTr="00195EDC">
        <w:tc>
          <w:tcPr>
            <w:tcW w:w="347" w:type="pct"/>
          </w:tcPr>
          <w:p w:rsidR="00364872" w:rsidRDefault="00364872" w:rsidP="00364872">
            <w:pPr>
              <w:pStyle w:val="RepTable"/>
            </w:pPr>
            <w:r>
              <w:t xml:space="preserve">KCA 5.5 </w:t>
            </w:r>
          </w:p>
          <w:p w:rsidR="00364872" w:rsidRDefault="00364872" w:rsidP="00364872">
            <w:pPr>
              <w:pStyle w:val="RepTable"/>
            </w:pPr>
            <w:r>
              <w:t>/01</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1998</w:t>
            </w:r>
          </w:p>
        </w:tc>
        <w:tc>
          <w:tcPr>
            <w:tcW w:w="2948" w:type="pct"/>
          </w:tcPr>
          <w:p w:rsidR="00364872" w:rsidRPr="00364872" w:rsidRDefault="00364872" w:rsidP="00364872">
            <w:pPr>
              <w:pStyle w:val="RepTable"/>
            </w:pPr>
            <w:r w:rsidRPr="00364872">
              <w:t xml:space="preserve">Rat dietary combined chronic toxicity and oncogenicity study AE F115008 (Hoe 115008) Code: AE F115008 00 1C89 0001 xxxxxxxxxxxxxxxxxx </w:t>
            </w:r>
          </w:p>
          <w:p w:rsidR="00364872" w:rsidRPr="00364872" w:rsidRDefault="00364872" w:rsidP="00364872">
            <w:pPr>
              <w:pStyle w:val="RepTable"/>
            </w:pPr>
            <w:r w:rsidRPr="00364872">
              <w:t xml:space="preserve">Report No.: C001157, Report includes Trial Nos.: TOX94468, Edition Number: M-181889-01-1, EPA MRID No.: 45108815 </w:t>
            </w:r>
          </w:p>
          <w:p w:rsidR="00364872" w:rsidRPr="00364872" w:rsidRDefault="00364872" w:rsidP="00364872">
            <w:pPr>
              <w:pStyle w:val="RepTable"/>
            </w:pPr>
            <w:r w:rsidRPr="00364872">
              <w:t xml:space="preserve">Date: 1998-10-23 </w:t>
            </w:r>
          </w:p>
          <w:p w:rsidR="00FE6385" w:rsidRPr="00FE6385" w:rsidRDefault="00FE6385" w:rsidP="00FE6385">
            <w:pPr>
              <w:pStyle w:val="RepTable"/>
            </w:pPr>
            <w:r w:rsidRPr="00FE6385">
              <w:t>GLP/GEP: Yes</w:t>
            </w:r>
          </w:p>
          <w:p w:rsidR="00364872" w:rsidRPr="00B27D39" w:rsidRDefault="00FE6385" w:rsidP="00FE6385">
            <w:pPr>
              <w:pStyle w:val="RepTable"/>
            </w:pPr>
            <w:r w:rsidRPr="00FE6385">
              <w:rPr>
                <w:lang w:val="en-US"/>
              </w:rPr>
              <w:t>Unpublished</w:t>
            </w:r>
          </w:p>
        </w:tc>
        <w:tc>
          <w:tcPr>
            <w:tcW w:w="360" w:type="pct"/>
          </w:tcPr>
          <w:p w:rsidR="00364872" w:rsidRPr="00B27D39" w:rsidRDefault="00364872" w:rsidP="00364872">
            <w:pPr>
              <w:pStyle w:val="RepTable"/>
              <w:jc w:val="center"/>
            </w:pPr>
            <w:r w:rsidRPr="007562A0">
              <w:t xml:space="preserve">Y </w:t>
            </w:r>
          </w:p>
        </w:tc>
        <w:tc>
          <w:tcPr>
            <w:tcW w:w="439" w:type="pct"/>
          </w:tcPr>
          <w:p w:rsidR="00364872" w:rsidRPr="00B27D39" w:rsidRDefault="00364872" w:rsidP="00364872">
            <w:pPr>
              <w:pStyle w:val="RepTable"/>
              <w:jc w:val="center"/>
            </w:pPr>
            <w:r w:rsidRPr="007562A0">
              <w:t xml:space="preserve">Bayer CropScience </w:t>
            </w:r>
          </w:p>
        </w:tc>
      </w:tr>
      <w:tr w:rsidR="00364872" w:rsidRPr="00B27D39" w:rsidTr="00195EDC">
        <w:tc>
          <w:tcPr>
            <w:tcW w:w="347" w:type="pct"/>
          </w:tcPr>
          <w:p w:rsidR="00364872" w:rsidRDefault="00364872" w:rsidP="00364872">
            <w:pPr>
              <w:pStyle w:val="RepTable"/>
            </w:pPr>
            <w:r>
              <w:t xml:space="preserve">KCA 5.5 </w:t>
            </w:r>
          </w:p>
          <w:p w:rsidR="00364872" w:rsidRDefault="00364872" w:rsidP="00364872">
            <w:pPr>
              <w:pStyle w:val="RepTable"/>
            </w:pPr>
            <w:r>
              <w:t>/02</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1998</w:t>
            </w:r>
          </w:p>
        </w:tc>
        <w:tc>
          <w:tcPr>
            <w:tcW w:w="2948" w:type="pct"/>
          </w:tcPr>
          <w:p w:rsidR="00364872" w:rsidRDefault="00364872" w:rsidP="00364872">
            <w:pPr>
              <w:pStyle w:val="RepTable"/>
            </w:pPr>
            <w:r>
              <w:t xml:space="preserve">Mouse dietary 18 month oncogenicity study AE F115008 (Hoe 115008) Code: AE F115008 00 1C89 0001 xxxxxxxxxxxxxxxx </w:t>
            </w:r>
          </w:p>
          <w:p w:rsidR="00364872" w:rsidRDefault="00364872" w:rsidP="00364872">
            <w:pPr>
              <w:pStyle w:val="RepTable"/>
            </w:pPr>
            <w:r>
              <w:t xml:space="preserve">Report No.: C001158, Report includes Trial Nos.: TOX94467, Edition Number: M-181896-01-1, EPA MRID No.: 45108816 </w:t>
            </w:r>
          </w:p>
          <w:p w:rsidR="00364872" w:rsidRDefault="00364872" w:rsidP="00364872">
            <w:pPr>
              <w:pStyle w:val="RepTable"/>
            </w:pPr>
            <w:r>
              <w:t xml:space="preserve">Date: 1998-10-23 </w:t>
            </w:r>
          </w:p>
          <w:p w:rsidR="00FE6385" w:rsidRPr="00FE6385" w:rsidRDefault="00FE6385" w:rsidP="00FE6385">
            <w:pPr>
              <w:pStyle w:val="RepTable"/>
            </w:pPr>
            <w:r w:rsidRPr="00FE6385">
              <w:t>GLP/GEP: Yes</w:t>
            </w:r>
          </w:p>
          <w:p w:rsidR="00364872" w:rsidRPr="00364872" w:rsidRDefault="00FE6385" w:rsidP="00FE6385">
            <w:pPr>
              <w:pStyle w:val="RepTable"/>
            </w:pPr>
            <w:r w:rsidRPr="00FE6385">
              <w:rPr>
                <w:lang w:val="en-US"/>
              </w:rPr>
              <w:lastRenderedPageBreak/>
              <w:t>Unpublished</w:t>
            </w:r>
          </w:p>
        </w:tc>
        <w:tc>
          <w:tcPr>
            <w:tcW w:w="360" w:type="pct"/>
          </w:tcPr>
          <w:p w:rsidR="00364872" w:rsidRPr="007562A0" w:rsidRDefault="00364872" w:rsidP="00364872">
            <w:pPr>
              <w:pStyle w:val="RepTable"/>
              <w:jc w:val="center"/>
            </w:pPr>
            <w:r w:rsidRPr="007F69AE">
              <w:lastRenderedPageBreak/>
              <w:t xml:space="preserve">Y </w:t>
            </w:r>
          </w:p>
        </w:tc>
        <w:tc>
          <w:tcPr>
            <w:tcW w:w="439" w:type="pct"/>
          </w:tcPr>
          <w:p w:rsidR="00364872" w:rsidRPr="007562A0" w:rsidRDefault="00364872" w:rsidP="00364872">
            <w:pPr>
              <w:pStyle w:val="RepTable"/>
              <w:jc w:val="center"/>
            </w:pPr>
            <w:r w:rsidRPr="007F69AE">
              <w:t xml:space="preserve">Bayer CropScience </w:t>
            </w:r>
          </w:p>
        </w:tc>
      </w:tr>
      <w:tr w:rsidR="00364872" w:rsidRPr="00B27D39" w:rsidTr="00195EDC">
        <w:tc>
          <w:tcPr>
            <w:tcW w:w="347" w:type="pct"/>
          </w:tcPr>
          <w:p w:rsidR="00364872" w:rsidRDefault="00364872" w:rsidP="00364872">
            <w:pPr>
              <w:pStyle w:val="RepTable"/>
            </w:pPr>
            <w:r>
              <w:lastRenderedPageBreak/>
              <w:t xml:space="preserve">KCA </w:t>
            </w:r>
          </w:p>
          <w:p w:rsidR="00364872" w:rsidRDefault="00364872" w:rsidP="00364872">
            <w:pPr>
              <w:pStyle w:val="RepTable"/>
            </w:pPr>
            <w:r>
              <w:t>5.6.6</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2014</w:t>
            </w:r>
          </w:p>
        </w:tc>
        <w:tc>
          <w:tcPr>
            <w:tcW w:w="2948" w:type="pct"/>
          </w:tcPr>
          <w:p w:rsidR="00364872" w:rsidRDefault="00364872" w:rsidP="00364872">
            <w:pPr>
              <w:pStyle w:val="RepTable"/>
            </w:pPr>
            <w:r>
              <w:t xml:space="preserve">Position Paper: Iodosulfuron-methyl-sodium. Response to initial questions from kemI during 2014 re-registration process. </w:t>
            </w:r>
          </w:p>
          <w:p w:rsidR="00364872" w:rsidRDefault="00364872" w:rsidP="00364872">
            <w:pPr>
              <w:pStyle w:val="RepTable"/>
            </w:pPr>
            <w:r>
              <w:t xml:space="preserve">Edition Number: M-502267-01-1 </w:t>
            </w:r>
          </w:p>
          <w:p w:rsidR="00364872" w:rsidRPr="00364872" w:rsidRDefault="00364872" w:rsidP="00364872">
            <w:pPr>
              <w:pStyle w:val="RepTable"/>
            </w:pPr>
            <w:r>
              <w:t>Date: 2014-11-18</w:t>
            </w:r>
          </w:p>
        </w:tc>
        <w:tc>
          <w:tcPr>
            <w:tcW w:w="360" w:type="pct"/>
          </w:tcPr>
          <w:p w:rsidR="00364872" w:rsidRPr="007562A0" w:rsidRDefault="00364872" w:rsidP="00364872">
            <w:pPr>
              <w:pStyle w:val="RepTable"/>
              <w:jc w:val="center"/>
            </w:pPr>
            <w:r w:rsidRPr="002F3916">
              <w:t xml:space="preserve">Y </w:t>
            </w:r>
          </w:p>
        </w:tc>
        <w:tc>
          <w:tcPr>
            <w:tcW w:w="439" w:type="pct"/>
          </w:tcPr>
          <w:p w:rsidR="00364872" w:rsidRPr="007562A0" w:rsidRDefault="00364872" w:rsidP="00364872">
            <w:pPr>
              <w:pStyle w:val="RepTable"/>
              <w:jc w:val="center"/>
            </w:pPr>
            <w:r w:rsidRPr="002F3916">
              <w:t xml:space="preserve">Bayer CropScience </w:t>
            </w:r>
          </w:p>
        </w:tc>
      </w:tr>
      <w:tr w:rsidR="00364872" w:rsidRPr="00B27D39" w:rsidTr="00195EDC">
        <w:tc>
          <w:tcPr>
            <w:tcW w:w="347" w:type="pct"/>
          </w:tcPr>
          <w:p w:rsidR="00364872" w:rsidRDefault="00364872" w:rsidP="00364872">
            <w:pPr>
              <w:pStyle w:val="RepTable"/>
            </w:pPr>
            <w:r>
              <w:t xml:space="preserve">KCA </w:t>
            </w:r>
          </w:p>
          <w:p w:rsidR="00364872" w:rsidRDefault="00364872" w:rsidP="00364872">
            <w:pPr>
              <w:pStyle w:val="RepTable"/>
            </w:pPr>
            <w:r>
              <w:t>5.6.6</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2015</w:t>
            </w:r>
          </w:p>
        </w:tc>
        <w:tc>
          <w:tcPr>
            <w:tcW w:w="2948" w:type="pct"/>
          </w:tcPr>
          <w:p w:rsidR="00364872" w:rsidRPr="00364872" w:rsidRDefault="00364872" w:rsidP="00364872">
            <w:pPr>
              <w:pStyle w:val="RepTable"/>
            </w:pPr>
            <w:r w:rsidRPr="00364872">
              <w:t>Position Paper: Iodosulfuron-methyl-sodium. Response to further questions from kemI during re-registration process. Edition Number: - Date: 2015-01-27</w:t>
            </w:r>
          </w:p>
        </w:tc>
        <w:tc>
          <w:tcPr>
            <w:tcW w:w="360" w:type="pct"/>
          </w:tcPr>
          <w:p w:rsidR="00364872" w:rsidRPr="007562A0" w:rsidRDefault="00364872" w:rsidP="00364872">
            <w:pPr>
              <w:pStyle w:val="RepTable"/>
              <w:jc w:val="center"/>
            </w:pPr>
            <w:r w:rsidRPr="006177EF">
              <w:t xml:space="preserve">Y </w:t>
            </w:r>
          </w:p>
        </w:tc>
        <w:tc>
          <w:tcPr>
            <w:tcW w:w="439" w:type="pct"/>
          </w:tcPr>
          <w:p w:rsidR="00364872" w:rsidRPr="007562A0" w:rsidRDefault="00364872" w:rsidP="00364872">
            <w:pPr>
              <w:pStyle w:val="RepTable"/>
              <w:jc w:val="center"/>
            </w:pPr>
            <w:r w:rsidRPr="006177EF">
              <w:t xml:space="preserve">Bayer CropScience </w:t>
            </w:r>
          </w:p>
        </w:tc>
      </w:tr>
      <w:tr w:rsidR="00364872" w:rsidRPr="00B27D39" w:rsidTr="00195EDC">
        <w:tc>
          <w:tcPr>
            <w:tcW w:w="347" w:type="pct"/>
          </w:tcPr>
          <w:p w:rsidR="00364872" w:rsidRDefault="00364872" w:rsidP="00364872">
            <w:pPr>
              <w:pStyle w:val="RepTable"/>
            </w:pPr>
            <w:r>
              <w:t xml:space="preserve">KCA </w:t>
            </w:r>
          </w:p>
          <w:p w:rsidR="00364872" w:rsidRDefault="00364872" w:rsidP="00364872">
            <w:pPr>
              <w:pStyle w:val="RepTable"/>
            </w:pPr>
            <w:r>
              <w:t>5.6.1 /01</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1998</w:t>
            </w:r>
          </w:p>
        </w:tc>
        <w:tc>
          <w:tcPr>
            <w:tcW w:w="2948" w:type="pct"/>
          </w:tcPr>
          <w:p w:rsidR="00364872" w:rsidRDefault="00364872" w:rsidP="00364872">
            <w:pPr>
              <w:pStyle w:val="RepTable"/>
            </w:pPr>
            <w:r>
              <w:t xml:space="preserve">Range finding feeding-reproduction study for a two-generation reproduction toxicity study in rats Hoe 115008 substance technical Code: Hoe 115008 00 ZC89 0001 xxxxxxxxxxxx </w:t>
            </w:r>
          </w:p>
          <w:p w:rsidR="00364872" w:rsidRDefault="00364872" w:rsidP="00364872">
            <w:pPr>
              <w:pStyle w:val="RepTable"/>
            </w:pPr>
            <w:r>
              <w:t xml:space="preserve">Report No.: C001447, Report includes Trial Nos.: 96.0406, Edition Number: M-182647-01-1, EPA MRID No.: 45108817 </w:t>
            </w:r>
          </w:p>
          <w:p w:rsidR="00364872" w:rsidRDefault="00364872" w:rsidP="00364872">
            <w:pPr>
              <w:pStyle w:val="RepTable"/>
            </w:pPr>
            <w:r>
              <w:t xml:space="preserve">Date: 1998-10-16 </w:t>
            </w:r>
          </w:p>
          <w:p w:rsidR="00FE6385" w:rsidRPr="00FE6385" w:rsidRDefault="00FE6385" w:rsidP="00FE6385">
            <w:pPr>
              <w:pStyle w:val="RepTable"/>
            </w:pPr>
            <w:r w:rsidRPr="00FE6385">
              <w:t>GLP/GEP: Yes</w:t>
            </w:r>
          </w:p>
          <w:p w:rsidR="00364872" w:rsidRPr="00364872" w:rsidRDefault="00FE6385" w:rsidP="00FE6385">
            <w:pPr>
              <w:pStyle w:val="RepTable"/>
            </w:pPr>
            <w:r w:rsidRPr="00FE6385">
              <w:rPr>
                <w:lang w:val="en-US"/>
              </w:rPr>
              <w:t>Unpublished</w:t>
            </w:r>
          </w:p>
        </w:tc>
        <w:tc>
          <w:tcPr>
            <w:tcW w:w="360" w:type="pct"/>
          </w:tcPr>
          <w:p w:rsidR="00364872" w:rsidRPr="007562A0" w:rsidRDefault="00364872" w:rsidP="00364872">
            <w:pPr>
              <w:pStyle w:val="RepTable"/>
              <w:jc w:val="center"/>
            </w:pPr>
            <w:r w:rsidRPr="007F0882">
              <w:t xml:space="preserve">Y </w:t>
            </w:r>
          </w:p>
        </w:tc>
        <w:tc>
          <w:tcPr>
            <w:tcW w:w="439" w:type="pct"/>
          </w:tcPr>
          <w:p w:rsidR="00364872" w:rsidRPr="007562A0" w:rsidRDefault="00364872" w:rsidP="00364872">
            <w:pPr>
              <w:pStyle w:val="RepTable"/>
              <w:jc w:val="center"/>
            </w:pPr>
            <w:r w:rsidRPr="007F0882">
              <w:t xml:space="preserve">Bayer CropScience </w:t>
            </w:r>
          </w:p>
        </w:tc>
      </w:tr>
      <w:tr w:rsidR="00364872" w:rsidRPr="00B27D39" w:rsidTr="00195EDC">
        <w:tc>
          <w:tcPr>
            <w:tcW w:w="347" w:type="pct"/>
          </w:tcPr>
          <w:p w:rsidR="00364872" w:rsidRDefault="00364872" w:rsidP="00364872">
            <w:pPr>
              <w:pStyle w:val="RepTable"/>
            </w:pPr>
            <w:r>
              <w:t xml:space="preserve">KCA </w:t>
            </w:r>
          </w:p>
          <w:p w:rsidR="00364872" w:rsidRDefault="00364872" w:rsidP="00364872">
            <w:pPr>
              <w:pStyle w:val="RepTable"/>
            </w:pPr>
            <w:r>
              <w:t>5.6.1 /02</w:t>
            </w:r>
          </w:p>
        </w:tc>
        <w:tc>
          <w:tcPr>
            <w:tcW w:w="636" w:type="pct"/>
          </w:tcPr>
          <w:p w:rsidR="00364872" w:rsidRPr="00FF3C47" w:rsidRDefault="000F03B2" w:rsidP="00364872">
            <w:pPr>
              <w:pStyle w:val="RepTable"/>
              <w:rPr>
                <w:highlight w:val="black"/>
              </w:rPr>
            </w:pPr>
            <w:r w:rsidRPr="00FF3C47">
              <w:rPr>
                <w:noProof w:val="0"/>
                <w:color w:val="000000"/>
                <w:kern w:val="2"/>
                <w:highlight w:val="black"/>
                <w:lang w:val="en-IE" w:eastAsia="en-IE"/>
              </w:rPr>
              <w:t>Anon</w:t>
            </w:r>
          </w:p>
        </w:tc>
        <w:tc>
          <w:tcPr>
            <w:tcW w:w="270" w:type="pct"/>
          </w:tcPr>
          <w:p w:rsidR="00364872" w:rsidRPr="00FF3C47" w:rsidRDefault="00364872" w:rsidP="00364872">
            <w:pPr>
              <w:pStyle w:val="RepTable"/>
              <w:jc w:val="center"/>
              <w:rPr>
                <w:highlight w:val="black"/>
              </w:rPr>
            </w:pPr>
            <w:r w:rsidRPr="00FF3C47">
              <w:rPr>
                <w:highlight w:val="black"/>
              </w:rPr>
              <w:t>1998</w:t>
            </w:r>
          </w:p>
        </w:tc>
        <w:tc>
          <w:tcPr>
            <w:tcW w:w="2948" w:type="pct"/>
          </w:tcPr>
          <w:p w:rsidR="00364872" w:rsidRDefault="00364872" w:rsidP="00364872">
            <w:pPr>
              <w:pStyle w:val="RepTable"/>
            </w:pPr>
            <w:r>
              <w:t xml:space="preserve">Two-generation feeding-reproduction toxicity study in rats Hoe 115008 substance technical Code: Hoe 115008 00 ZC89 0001 xxxxxxxxxxxxxxxxxxxx </w:t>
            </w:r>
          </w:p>
          <w:p w:rsidR="00364872" w:rsidRDefault="00364872" w:rsidP="00364872">
            <w:pPr>
              <w:pStyle w:val="RepTable"/>
            </w:pPr>
            <w:r>
              <w:t xml:space="preserve">Report No.: C001514, Report includes Trial Nos.: 96.0699, Edition Number: M-182825-01-1, EPA MRID No.: 45108818 </w:t>
            </w:r>
          </w:p>
          <w:p w:rsidR="00364872" w:rsidRDefault="00364872" w:rsidP="00364872">
            <w:pPr>
              <w:pStyle w:val="RepTable"/>
            </w:pPr>
            <w:r>
              <w:t xml:space="preserve">Date: 1998-11-09 </w:t>
            </w:r>
          </w:p>
          <w:p w:rsidR="00FE6385" w:rsidRPr="00FE6385" w:rsidRDefault="00FE6385" w:rsidP="00FE6385">
            <w:pPr>
              <w:pStyle w:val="RepTable"/>
            </w:pPr>
            <w:r w:rsidRPr="00FE6385">
              <w:t>GLP/GEP: Yes</w:t>
            </w:r>
          </w:p>
          <w:p w:rsidR="00364872" w:rsidRPr="00364872" w:rsidRDefault="00FE6385" w:rsidP="00FE6385">
            <w:pPr>
              <w:pStyle w:val="RepTable"/>
            </w:pPr>
            <w:r w:rsidRPr="00FE6385">
              <w:rPr>
                <w:lang w:val="en-US"/>
              </w:rPr>
              <w:t>Unpublished</w:t>
            </w:r>
          </w:p>
        </w:tc>
        <w:tc>
          <w:tcPr>
            <w:tcW w:w="360" w:type="pct"/>
          </w:tcPr>
          <w:p w:rsidR="00364872" w:rsidRPr="007562A0" w:rsidRDefault="00364872" w:rsidP="00364872">
            <w:pPr>
              <w:pStyle w:val="RepTable"/>
              <w:jc w:val="center"/>
            </w:pPr>
            <w:r w:rsidRPr="001B1D21">
              <w:t xml:space="preserve">Y </w:t>
            </w:r>
          </w:p>
        </w:tc>
        <w:tc>
          <w:tcPr>
            <w:tcW w:w="439" w:type="pct"/>
          </w:tcPr>
          <w:p w:rsidR="00364872" w:rsidRPr="007562A0" w:rsidRDefault="00364872" w:rsidP="00364872">
            <w:pPr>
              <w:pStyle w:val="RepTable"/>
              <w:jc w:val="center"/>
            </w:pPr>
            <w:r w:rsidRPr="001B1D21">
              <w:t xml:space="preserve">Bayer CropScience </w:t>
            </w:r>
          </w:p>
        </w:tc>
      </w:tr>
      <w:tr w:rsidR="002135FA" w:rsidRPr="00B27D39" w:rsidTr="00195EDC">
        <w:tc>
          <w:tcPr>
            <w:tcW w:w="347" w:type="pct"/>
          </w:tcPr>
          <w:p w:rsidR="002135FA" w:rsidRDefault="002135FA" w:rsidP="002135FA">
            <w:pPr>
              <w:pStyle w:val="RepTable"/>
            </w:pPr>
            <w:r>
              <w:t xml:space="preserve">KCA </w:t>
            </w:r>
          </w:p>
          <w:p w:rsidR="002135FA" w:rsidRDefault="002135FA" w:rsidP="002135FA">
            <w:pPr>
              <w:pStyle w:val="RepTable"/>
            </w:pPr>
            <w:r>
              <w:t>5.6.2 /01</w:t>
            </w:r>
          </w:p>
        </w:tc>
        <w:tc>
          <w:tcPr>
            <w:tcW w:w="636" w:type="pct"/>
          </w:tcPr>
          <w:p w:rsidR="002135FA" w:rsidRPr="00FF3C47" w:rsidRDefault="000F03B2" w:rsidP="002135FA">
            <w:pPr>
              <w:pStyle w:val="RepTable"/>
              <w:rPr>
                <w:highlight w:val="black"/>
              </w:rPr>
            </w:pPr>
            <w:r w:rsidRPr="00FF3C47">
              <w:rPr>
                <w:noProof w:val="0"/>
                <w:color w:val="000000"/>
                <w:kern w:val="2"/>
                <w:highlight w:val="black"/>
                <w:lang w:val="en-IE" w:eastAsia="en-IE"/>
              </w:rPr>
              <w:t>Anon</w:t>
            </w:r>
          </w:p>
        </w:tc>
        <w:tc>
          <w:tcPr>
            <w:tcW w:w="270" w:type="pct"/>
          </w:tcPr>
          <w:p w:rsidR="002135FA" w:rsidRPr="00FF3C47" w:rsidRDefault="002135FA" w:rsidP="002135FA">
            <w:pPr>
              <w:pStyle w:val="RepTable"/>
              <w:jc w:val="center"/>
              <w:rPr>
                <w:highlight w:val="black"/>
              </w:rPr>
            </w:pPr>
            <w:r w:rsidRPr="00FF3C47">
              <w:rPr>
                <w:highlight w:val="black"/>
              </w:rPr>
              <w:t>1996</w:t>
            </w:r>
          </w:p>
        </w:tc>
        <w:tc>
          <w:tcPr>
            <w:tcW w:w="2948" w:type="pct"/>
          </w:tcPr>
          <w:p w:rsidR="002135FA" w:rsidRDefault="002135FA" w:rsidP="002135FA">
            <w:pPr>
              <w:pStyle w:val="RepTable"/>
            </w:pPr>
            <w:r>
              <w:t xml:space="preserve">Range finding embryotoxicity study after oral administration in Wistar rats Hoe 115008 substance, technical Code: Hoe 115008 00 ZC89 0001 xxxxxxxxxxxxxxxxxxx, </w:t>
            </w:r>
          </w:p>
          <w:p w:rsidR="002135FA" w:rsidRDefault="002135FA" w:rsidP="002135FA">
            <w:pPr>
              <w:pStyle w:val="RepTable"/>
            </w:pPr>
            <w:r>
              <w:t xml:space="preserve">Report No.: A56889, Report includes Trial Nos.: 95.0316 </w:t>
            </w:r>
          </w:p>
          <w:p w:rsidR="002135FA" w:rsidRDefault="002135FA" w:rsidP="002135FA">
            <w:pPr>
              <w:pStyle w:val="RepTable"/>
            </w:pPr>
            <w:r>
              <w:t xml:space="preserve">Edition Number: M-140665-01-1, EPA MRID No.: 45108819 </w:t>
            </w:r>
          </w:p>
          <w:p w:rsidR="002135FA" w:rsidRDefault="002135FA" w:rsidP="002135FA">
            <w:pPr>
              <w:pStyle w:val="RepTable"/>
            </w:pPr>
            <w:r>
              <w:t xml:space="preserve">Date: 1996-05-16 </w:t>
            </w:r>
          </w:p>
          <w:p w:rsidR="00FE6385" w:rsidRPr="00FE6385" w:rsidRDefault="00FE6385" w:rsidP="00FE6385">
            <w:pPr>
              <w:pStyle w:val="RepTable"/>
            </w:pPr>
            <w:r w:rsidRPr="00FE6385">
              <w:t>GLP/GEP: Yes</w:t>
            </w:r>
          </w:p>
          <w:p w:rsidR="002135FA" w:rsidRPr="00364872" w:rsidRDefault="00FE6385" w:rsidP="00FE6385">
            <w:pPr>
              <w:pStyle w:val="RepTable"/>
            </w:pPr>
            <w:r w:rsidRPr="00FE6385">
              <w:rPr>
                <w:lang w:val="en-US"/>
              </w:rPr>
              <w:t>Unpublished</w:t>
            </w:r>
          </w:p>
        </w:tc>
        <w:tc>
          <w:tcPr>
            <w:tcW w:w="360" w:type="pct"/>
          </w:tcPr>
          <w:p w:rsidR="002135FA" w:rsidRPr="007562A0" w:rsidRDefault="002135FA" w:rsidP="002135FA">
            <w:pPr>
              <w:pStyle w:val="RepTable"/>
              <w:jc w:val="center"/>
            </w:pPr>
            <w:r w:rsidRPr="00585BD8">
              <w:t xml:space="preserve">Y </w:t>
            </w:r>
          </w:p>
        </w:tc>
        <w:tc>
          <w:tcPr>
            <w:tcW w:w="439" w:type="pct"/>
          </w:tcPr>
          <w:p w:rsidR="002135FA" w:rsidRPr="007562A0" w:rsidRDefault="002135FA" w:rsidP="002135FA">
            <w:pPr>
              <w:pStyle w:val="RepTable"/>
              <w:jc w:val="center"/>
            </w:pPr>
            <w:r w:rsidRPr="00585BD8">
              <w:t xml:space="preserve">Bayer CropScience </w:t>
            </w:r>
          </w:p>
        </w:tc>
      </w:tr>
      <w:tr w:rsidR="002135FA" w:rsidRPr="00B27D39" w:rsidTr="00195EDC">
        <w:tc>
          <w:tcPr>
            <w:tcW w:w="347" w:type="pct"/>
          </w:tcPr>
          <w:p w:rsidR="002135FA" w:rsidRDefault="002135FA" w:rsidP="002135FA">
            <w:pPr>
              <w:pStyle w:val="RepTable"/>
            </w:pPr>
            <w:r>
              <w:t xml:space="preserve">KCA </w:t>
            </w:r>
          </w:p>
          <w:p w:rsidR="002135FA" w:rsidRDefault="002135FA" w:rsidP="002135FA">
            <w:pPr>
              <w:pStyle w:val="RepTable"/>
            </w:pPr>
            <w:r>
              <w:t>5.6.2 /02</w:t>
            </w:r>
          </w:p>
        </w:tc>
        <w:tc>
          <w:tcPr>
            <w:tcW w:w="636" w:type="pct"/>
          </w:tcPr>
          <w:p w:rsidR="002135FA" w:rsidRPr="00FF3C47" w:rsidRDefault="000F03B2" w:rsidP="002135FA">
            <w:pPr>
              <w:pStyle w:val="RepTable"/>
              <w:rPr>
                <w:highlight w:val="black"/>
              </w:rPr>
            </w:pPr>
            <w:r w:rsidRPr="00FF3C47">
              <w:rPr>
                <w:noProof w:val="0"/>
                <w:color w:val="000000"/>
                <w:kern w:val="2"/>
                <w:highlight w:val="black"/>
                <w:lang w:val="en-IE" w:eastAsia="en-IE"/>
              </w:rPr>
              <w:t>Anon</w:t>
            </w:r>
          </w:p>
        </w:tc>
        <w:tc>
          <w:tcPr>
            <w:tcW w:w="270" w:type="pct"/>
          </w:tcPr>
          <w:p w:rsidR="002135FA" w:rsidRPr="00FF3C47" w:rsidRDefault="002135FA" w:rsidP="002135FA">
            <w:pPr>
              <w:pStyle w:val="RepTable"/>
              <w:jc w:val="center"/>
              <w:rPr>
                <w:highlight w:val="black"/>
              </w:rPr>
            </w:pPr>
            <w:r w:rsidRPr="00FF3C47">
              <w:rPr>
                <w:highlight w:val="black"/>
              </w:rPr>
              <w:t>1996</w:t>
            </w:r>
          </w:p>
        </w:tc>
        <w:tc>
          <w:tcPr>
            <w:tcW w:w="2948" w:type="pct"/>
          </w:tcPr>
          <w:p w:rsidR="002135FA" w:rsidRDefault="002135FA" w:rsidP="002135FA">
            <w:pPr>
              <w:pStyle w:val="RepTable"/>
            </w:pPr>
            <w:r>
              <w:t xml:space="preserve">Oral developmental toxicity (teratogenicity) study - rat Hoe 115008 substance, technical Code: Hoe 115008 00 ZC89 0001 xxxxxxxxxxxxxxxxx xxxxxxxxxxxxxxx </w:t>
            </w:r>
          </w:p>
          <w:p w:rsidR="002135FA" w:rsidRDefault="002135FA" w:rsidP="002135FA">
            <w:pPr>
              <w:pStyle w:val="RepTable"/>
            </w:pPr>
            <w:r>
              <w:lastRenderedPageBreak/>
              <w:t xml:space="preserve">Report No.: A57677, Report includes Trial Nos.: 95.0354, Edition Number: M-141359-01-1, EPA MRID No.: 45108820 </w:t>
            </w:r>
          </w:p>
          <w:p w:rsidR="002135FA" w:rsidRDefault="002135FA" w:rsidP="002135FA">
            <w:pPr>
              <w:pStyle w:val="RepTable"/>
            </w:pPr>
            <w:r>
              <w:t xml:space="preserve">Date: 1996-10-23 </w:t>
            </w:r>
          </w:p>
          <w:p w:rsidR="00FE6385" w:rsidRPr="00FE6385" w:rsidRDefault="00FE6385" w:rsidP="00FE6385">
            <w:pPr>
              <w:pStyle w:val="RepTable"/>
            </w:pPr>
            <w:r w:rsidRPr="00FE6385">
              <w:t>GLP/GEP: Yes</w:t>
            </w:r>
          </w:p>
          <w:p w:rsidR="002135FA" w:rsidRPr="00364872" w:rsidRDefault="00FE6385" w:rsidP="00FE6385">
            <w:pPr>
              <w:pStyle w:val="RepTable"/>
            </w:pPr>
            <w:r w:rsidRPr="00FE6385">
              <w:rPr>
                <w:lang w:val="en-US"/>
              </w:rPr>
              <w:t>Unpublished</w:t>
            </w:r>
          </w:p>
        </w:tc>
        <w:tc>
          <w:tcPr>
            <w:tcW w:w="360" w:type="pct"/>
          </w:tcPr>
          <w:p w:rsidR="002135FA" w:rsidRPr="007562A0" w:rsidRDefault="002135FA" w:rsidP="002135FA">
            <w:pPr>
              <w:pStyle w:val="RepTable"/>
              <w:jc w:val="center"/>
            </w:pPr>
            <w:r w:rsidRPr="002735D6">
              <w:lastRenderedPageBreak/>
              <w:t xml:space="preserve">Y </w:t>
            </w:r>
          </w:p>
        </w:tc>
        <w:tc>
          <w:tcPr>
            <w:tcW w:w="439" w:type="pct"/>
          </w:tcPr>
          <w:p w:rsidR="002135FA" w:rsidRPr="007562A0" w:rsidRDefault="002135FA" w:rsidP="002135FA">
            <w:pPr>
              <w:pStyle w:val="RepTable"/>
              <w:jc w:val="center"/>
            </w:pPr>
            <w:r w:rsidRPr="002735D6">
              <w:t xml:space="preserve">Bayer CropScience </w:t>
            </w:r>
          </w:p>
        </w:tc>
      </w:tr>
      <w:tr w:rsidR="00BD6FDC" w:rsidRPr="00B27D39" w:rsidTr="00195EDC">
        <w:tc>
          <w:tcPr>
            <w:tcW w:w="347" w:type="pct"/>
          </w:tcPr>
          <w:p w:rsidR="00BD6FDC" w:rsidRDefault="00BD6FDC" w:rsidP="00BD6FDC">
            <w:pPr>
              <w:pStyle w:val="RepTable"/>
            </w:pPr>
            <w:r>
              <w:lastRenderedPageBreak/>
              <w:t xml:space="preserve">KCA </w:t>
            </w:r>
          </w:p>
          <w:p w:rsidR="00BD6FDC" w:rsidRDefault="00BD6FDC" w:rsidP="00BD6FDC">
            <w:pPr>
              <w:pStyle w:val="RepTable"/>
            </w:pPr>
            <w:r>
              <w:t>5.6.2 /03</w:t>
            </w:r>
          </w:p>
        </w:tc>
        <w:tc>
          <w:tcPr>
            <w:tcW w:w="636" w:type="pct"/>
          </w:tcPr>
          <w:p w:rsidR="00BD6FDC" w:rsidRPr="00FF3C47" w:rsidRDefault="000F03B2" w:rsidP="00BD6FDC">
            <w:pPr>
              <w:pStyle w:val="RepTable"/>
              <w:rPr>
                <w:highlight w:val="black"/>
              </w:rPr>
            </w:pPr>
            <w:r w:rsidRPr="00FF3C47">
              <w:rPr>
                <w:noProof w:val="0"/>
                <w:color w:val="000000"/>
                <w:kern w:val="2"/>
                <w:highlight w:val="black"/>
                <w:lang w:val="en-IE" w:eastAsia="en-IE"/>
              </w:rPr>
              <w:t>Anon</w:t>
            </w:r>
          </w:p>
        </w:tc>
        <w:tc>
          <w:tcPr>
            <w:tcW w:w="270" w:type="pct"/>
          </w:tcPr>
          <w:p w:rsidR="00BD6FDC" w:rsidRPr="00FF3C47" w:rsidRDefault="00BD6FDC" w:rsidP="00BD6FDC">
            <w:pPr>
              <w:pStyle w:val="RepTable"/>
              <w:jc w:val="center"/>
              <w:rPr>
                <w:highlight w:val="black"/>
              </w:rPr>
            </w:pPr>
            <w:r w:rsidRPr="00FF3C47">
              <w:rPr>
                <w:highlight w:val="black"/>
              </w:rPr>
              <w:t>1996</w:t>
            </w:r>
          </w:p>
        </w:tc>
        <w:tc>
          <w:tcPr>
            <w:tcW w:w="2948" w:type="pct"/>
          </w:tcPr>
          <w:p w:rsidR="00BD6FDC" w:rsidRDefault="00BD6FDC" w:rsidP="00BD6FDC">
            <w:pPr>
              <w:pStyle w:val="RepTable"/>
            </w:pPr>
            <w:r>
              <w:t xml:space="preserve">Range finding embryotoxicity study after oral administration in Himalayan rabbits Hoe 115008 substance, technical Code: Hoe 115008 00 ZC89 0001 Hoechst AG, Frankfurt am Main, Germany Bayer CropScience, </w:t>
            </w:r>
          </w:p>
          <w:p w:rsidR="00BD6FDC" w:rsidRDefault="00BD6FDC" w:rsidP="00BD6FDC">
            <w:pPr>
              <w:pStyle w:val="RepTable"/>
            </w:pPr>
            <w:r>
              <w:t xml:space="preserve">Report No.: A56721, Report includes Trial Nos.: 95.0315, Edition Number: M-140510-01-1, EPA MRID No.: 45108821 </w:t>
            </w:r>
          </w:p>
          <w:p w:rsidR="00BD6FDC" w:rsidRDefault="00BD6FDC" w:rsidP="00BD6FDC">
            <w:pPr>
              <w:pStyle w:val="RepTable"/>
            </w:pPr>
            <w:r>
              <w:t xml:space="preserve">Date: 1996-04-16 </w:t>
            </w:r>
          </w:p>
          <w:p w:rsidR="00FE6385" w:rsidRPr="00FE6385" w:rsidRDefault="00FE6385" w:rsidP="00FE6385">
            <w:pPr>
              <w:pStyle w:val="RepTable"/>
            </w:pPr>
            <w:r w:rsidRPr="00FE6385">
              <w:t>GLP/GEP: Yes</w:t>
            </w:r>
          </w:p>
          <w:p w:rsidR="00BD6FDC" w:rsidRPr="00364872" w:rsidRDefault="00FE6385" w:rsidP="00FE6385">
            <w:pPr>
              <w:pStyle w:val="RepTable"/>
            </w:pPr>
            <w:r w:rsidRPr="00FE6385">
              <w:rPr>
                <w:lang w:val="en-US"/>
              </w:rPr>
              <w:t>Unpublished</w:t>
            </w:r>
          </w:p>
        </w:tc>
        <w:tc>
          <w:tcPr>
            <w:tcW w:w="360" w:type="pct"/>
          </w:tcPr>
          <w:p w:rsidR="00BD6FDC" w:rsidRPr="007562A0" w:rsidRDefault="00BD6FDC" w:rsidP="00BD6FDC">
            <w:pPr>
              <w:pStyle w:val="RepTable"/>
              <w:jc w:val="center"/>
            </w:pPr>
            <w:r w:rsidRPr="00EA4BB6">
              <w:t xml:space="preserve">Y </w:t>
            </w:r>
          </w:p>
        </w:tc>
        <w:tc>
          <w:tcPr>
            <w:tcW w:w="439" w:type="pct"/>
          </w:tcPr>
          <w:p w:rsidR="00BD6FDC" w:rsidRPr="007562A0" w:rsidRDefault="00BD6FDC" w:rsidP="00BD6FDC">
            <w:pPr>
              <w:pStyle w:val="RepTable"/>
              <w:jc w:val="center"/>
            </w:pPr>
            <w:r w:rsidRPr="00EA4BB6">
              <w:t xml:space="preserve">Bayer CropScience </w:t>
            </w:r>
          </w:p>
        </w:tc>
      </w:tr>
      <w:tr w:rsidR="002E224E" w:rsidRPr="00B27D39" w:rsidTr="00195EDC">
        <w:tc>
          <w:tcPr>
            <w:tcW w:w="347" w:type="pct"/>
          </w:tcPr>
          <w:p w:rsidR="002E224E" w:rsidRDefault="002E224E" w:rsidP="002E224E">
            <w:pPr>
              <w:pStyle w:val="RepTable"/>
            </w:pPr>
            <w:r>
              <w:t xml:space="preserve">KCA </w:t>
            </w:r>
          </w:p>
          <w:p w:rsidR="002E224E" w:rsidRDefault="002E224E" w:rsidP="002E224E">
            <w:pPr>
              <w:pStyle w:val="RepTable"/>
            </w:pPr>
            <w:r>
              <w:t>5.6.2 /04</w:t>
            </w:r>
          </w:p>
        </w:tc>
        <w:tc>
          <w:tcPr>
            <w:tcW w:w="636" w:type="pct"/>
          </w:tcPr>
          <w:p w:rsidR="002E224E" w:rsidRPr="00FF3C47" w:rsidRDefault="000F03B2" w:rsidP="002E224E">
            <w:pPr>
              <w:pStyle w:val="RepTable"/>
              <w:rPr>
                <w:highlight w:val="black"/>
              </w:rPr>
            </w:pPr>
            <w:r w:rsidRPr="00FF3C47">
              <w:rPr>
                <w:noProof w:val="0"/>
                <w:color w:val="000000"/>
                <w:kern w:val="2"/>
                <w:highlight w:val="black"/>
                <w:lang w:val="en-IE" w:eastAsia="en-IE"/>
              </w:rPr>
              <w:t>Anon</w:t>
            </w:r>
          </w:p>
        </w:tc>
        <w:tc>
          <w:tcPr>
            <w:tcW w:w="270" w:type="pct"/>
          </w:tcPr>
          <w:p w:rsidR="002E224E" w:rsidRPr="00FF3C47" w:rsidRDefault="002E224E" w:rsidP="002E224E">
            <w:pPr>
              <w:pStyle w:val="RepTable"/>
              <w:jc w:val="center"/>
              <w:rPr>
                <w:highlight w:val="black"/>
              </w:rPr>
            </w:pPr>
            <w:r w:rsidRPr="00FF3C47">
              <w:rPr>
                <w:highlight w:val="black"/>
              </w:rPr>
              <w:t>1996</w:t>
            </w:r>
          </w:p>
        </w:tc>
        <w:tc>
          <w:tcPr>
            <w:tcW w:w="2948" w:type="pct"/>
          </w:tcPr>
          <w:p w:rsidR="002E224E" w:rsidRDefault="002E224E" w:rsidP="002E224E">
            <w:pPr>
              <w:pStyle w:val="RepTable"/>
            </w:pPr>
            <w:r>
              <w:t xml:space="preserve">Rabbit oral developmental toxicity (teratogenicity) study Hoe 115008 substance, technical Code: Hoe 115008 00 ZC89 0001 xxxxxxxxxxxxxxxx </w:t>
            </w:r>
          </w:p>
          <w:p w:rsidR="002E224E" w:rsidRDefault="002E224E" w:rsidP="002E224E">
            <w:pPr>
              <w:pStyle w:val="RepTable"/>
            </w:pPr>
            <w:r>
              <w:t xml:space="preserve">Report No.: A57676, Report includes Trial Nos.: 96.0353, Edition Number: M-141358-01-1, EPA MRID No.: 45108901 </w:t>
            </w:r>
          </w:p>
          <w:p w:rsidR="002E224E" w:rsidRDefault="002E224E" w:rsidP="002E224E">
            <w:pPr>
              <w:pStyle w:val="RepTable"/>
            </w:pPr>
            <w:r>
              <w:t xml:space="preserve">Date: 1996-10-10 </w:t>
            </w:r>
          </w:p>
          <w:p w:rsidR="00FE6385" w:rsidRPr="00FE6385" w:rsidRDefault="00FE6385" w:rsidP="00FE6385">
            <w:pPr>
              <w:pStyle w:val="RepTable"/>
            </w:pPr>
            <w:r w:rsidRPr="00FE6385">
              <w:t>GLP/GEP: Yes</w:t>
            </w:r>
          </w:p>
          <w:p w:rsidR="002E224E" w:rsidRPr="00364872" w:rsidRDefault="00FE6385" w:rsidP="00FE6385">
            <w:pPr>
              <w:pStyle w:val="RepTable"/>
            </w:pPr>
            <w:r w:rsidRPr="00FE6385">
              <w:rPr>
                <w:lang w:val="en-US"/>
              </w:rPr>
              <w:t>Unpublished</w:t>
            </w:r>
          </w:p>
        </w:tc>
        <w:tc>
          <w:tcPr>
            <w:tcW w:w="360" w:type="pct"/>
          </w:tcPr>
          <w:p w:rsidR="002E224E" w:rsidRPr="007562A0" w:rsidRDefault="002E224E" w:rsidP="002E224E">
            <w:pPr>
              <w:pStyle w:val="RepTable"/>
              <w:jc w:val="center"/>
            </w:pPr>
            <w:r w:rsidRPr="007A296F">
              <w:t xml:space="preserve">Y </w:t>
            </w:r>
          </w:p>
        </w:tc>
        <w:tc>
          <w:tcPr>
            <w:tcW w:w="439" w:type="pct"/>
          </w:tcPr>
          <w:p w:rsidR="002E224E" w:rsidRPr="007562A0" w:rsidRDefault="002E224E" w:rsidP="002E224E">
            <w:pPr>
              <w:pStyle w:val="RepTable"/>
              <w:jc w:val="center"/>
            </w:pPr>
            <w:r w:rsidRPr="007A296F">
              <w:t xml:space="preserve">Bayer CropScience </w:t>
            </w:r>
          </w:p>
        </w:tc>
      </w:tr>
      <w:tr w:rsidR="00C04473" w:rsidRPr="00B27D39" w:rsidTr="00195EDC">
        <w:tc>
          <w:tcPr>
            <w:tcW w:w="347" w:type="pct"/>
          </w:tcPr>
          <w:p w:rsidR="00C04473" w:rsidRDefault="00C04473" w:rsidP="00C04473">
            <w:pPr>
              <w:pStyle w:val="RepTable"/>
            </w:pPr>
            <w:r>
              <w:t xml:space="preserve">KCA </w:t>
            </w:r>
          </w:p>
          <w:p w:rsidR="00C04473" w:rsidRDefault="00C04473" w:rsidP="00C04473">
            <w:pPr>
              <w:pStyle w:val="RepTable"/>
            </w:pPr>
            <w:r>
              <w:t>5.8.1 /01</w:t>
            </w:r>
          </w:p>
        </w:tc>
        <w:tc>
          <w:tcPr>
            <w:tcW w:w="636" w:type="pct"/>
          </w:tcPr>
          <w:p w:rsidR="00C04473" w:rsidRPr="00FF3C47" w:rsidRDefault="000F03B2" w:rsidP="00C04473">
            <w:pPr>
              <w:pStyle w:val="RepTable"/>
              <w:rPr>
                <w:highlight w:val="black"/>
              </w:rPr>
            </w:pPr>
            <w:r w:rsidRPr="00FF3C47">
              <w:rPr>
                <w:noProof w:val="0"/>
                <w:color w:val="000000"/>
                <w:kern w:val="2"/>
                <w:highlight w:val="black"/>
                <w:lang w:val="en-IE" w:eastAsia="en-IE"/>
              </w:rPr>
              <w:t>Anon</w:t>
            </w:r>
          </w:p>
        </w:tc>
        <w:tc>
          <w:tcPr>
            <w:tcW w:w="270" w:type="pct"/>
          </w:tcPr>
          <w:p w:rsidR="00C04473" w:rsidRPr="00FF3C47" w:rsidRDefault="00C04473" w:rsidP="00C04473">
            <w:pPr>
              <w:pStyle w:val="RepTable"/>
              <w:jc w:val="center"/>
              <w:rPr>
                <w:highlight w:val="black"/>
              </w:rPr>
            </w:pPr>
            <w:r w:rsidRPr="00FF3C47">
              <w:rPr>
                <w:highlight w:val="black"/>
              </w:rPr>
              <w:t>1989</w:t>
            </w:r>
          </w:p>
        </w:tc>
        <w:tc>
          <w:tcPr>
            <w:tcW w:w="2948" w:type="pct"/>
          </w:tcPr>
          <w:p w:rsidR="00C04473" w:rsidRDefault="00C04473" w:rsidP="00C04473">
            <w:pPr>
              <w:pStyle w:val="RepTable"/>
            </w:pPr>
            <w:r>
              <w:t xml:space="preserve">Acute oral toxicity study in rats with 2-amino-4-methoxy-6-methyl-S-triazine xxxxxxxxxxxxxxxxxxxxx x </w:t>
            </w:r>
          </w:p>
          <w:p w:rsidR="00C04473" w:rsidRDefault="00C04473" w:rsidP="00C04473">
            <w:pPr>
              <w:pStyle w:val="RepTable"/>
            </w:pPr>
            <w:r>
              <w:t xml:space="preserve">Edition Number: M-182294-01-1 </w:t>
            </w:r>
          </w:p>
          <w:p w:rsidR="00C04473" w:rsidRDefault="00C04473" w:rsidP="00C04473">
            <w:pPr>
              <w:pStyle w:val="RepTable"/>
            </w:pPr>
            <w:r>
              <w:t xml:space="preserve">Date: 1989-10-05 </w:t>
            </w:r>
          </w:p>
          <w:p w:rsidR="00FE6385" w:rsidRPr="00FE6385" w:rsidRDefault="00FE6385" w:rsidP="00FE6385">
            <w:pPr>
              <w:pStyle w:val="RepTable"/>
            </w:pPr>
            <w:r w:rsidRPr="00FE6385">
              <w:t>GLP/GEP: Yes</w:t>
            </w:r>
          </w:p>
          <w:p w:rsidR="00C04473" w:rsidRPr="00364872" w:rsidRDefault="00FE6385" w:rsidP="00FE6385">
            <w:pPr>
              <w:pStyle w:val="RepTable"/>
            </w:pPr>
            <w:r w:rsidRPr="00FE6385">
              <w:rPr>
                <w:lang w:val="en-US"/>
              </w:rPr>
              <w:t>Unpublished</w:t>
            </w:r>
          </w:p>
        </w:tc>
        <w:tc>
          <w:tcPr>
            <w:tcW w:w="360" w:type="pct"/>
          </w:tcPr>
          <w:p w:rsidR="00C04473" w:rsidRPr="007562A0" w:rsidRDefault="00C04473" w:rsidP="00C04473">
            <w:pPr>
              <w:pStyle w:val="RepTable"/>
              <w:jc w:val="center"/>
            </w:pPr>
            <w:r w:rsidRPr="00E00DB4">
              <w:t xml:space="preserve">Y </w:t>
            </w:r>
          </w:p>
        </w:tc>
        <w:tc>
          <w:tcPr>
            <w:tcW w:w="439" w:type="pct"/>
          </w:tcPr>
          <w:p w:rsidR="00C04473" w:rsidRDefault="00C04473" w:rsidP="00C04473">
            <w:pPr>
              <w:pStyle w:val="RepTable"/>
              <w:jc w:val="center"/>
            </w:pPr>
            <w:r>
              <w:t xml:space="preserve">SKW </w:t>
            </w:r>
          </w:p>
          <w:p w:rsidR="00C04473" w:rsidRDefault="00C04473" w:rsidP="00C04473">
            <w:pPr>
              <w:pStyle w:val="RepTable"/>
              <w:jc w:val="center"/>
            </w:pPr>
            <w:r>
              <w:t xml:space="preserve">Trostberg, </w:t>
            </w:r>
          </w:p>
          <w:p w:rsidR="00C04473" w:rsidRPr="007562A0" w:rsidRDefault="00C04473" w:rsidP="00C04473">
            <w:pPr>
              <w:pStyle w:val="RepTable"/>
              <w:jc w:val="center"/>
            </w:pPr>
            <w:r>
              <w:t>Germany</w:t>
            </w:r>
            <w:r w:rsidRPr="00E00DB4">
              <w:t xml:space="preserve"> </w:t>
            </w:r>
          </w:p>
        </w:tc>
      </w:tr>
      <w:tr w:rsidR="00C04473" w:rsidRPr="00B27D39" w:rsidTr="00195EDC">
        <w:tc>
          <w:tcPr>
            <w:tcW w:w="347" w:type="pct"/>
          </w:tcPr>
          <w:p w:rsidR="00C04473" w:rsidRDefault="00C04473" w:rsidP="00C04473">
            <w:pPr>
              <w:pStyle w:val="RepTable"/>
            </w:pPr>
            <w:r>
              <w:t xml:space="preserve">KCA </w:t>
            </w:r>
          </w:p>
          <w:p w:rsidR="00C04473" w:rsidRDefault="00C04473" w:rsidP="00C04473">
            <w:pPr>
              <w:pStyle w:val="RepTable"/>
            </w:pPr>
            <w:r>
              <w:t>5.8.1 /02</w:t>
            </w:r>
          </w:p>
        </w:tc>
        <w:tc>
          <w:tcPr>
            <w:tcW w:w="636" w:type="pct"/>
          </w:tcPr>
          <w:p w:rsidR="00C04473" w:rsidRPr="00FF3C47" w:rsidRDefault="00C04473" w:rsidP="00C04473">
            <w:pPr>
              <w:pStyle w:val="RepTable"/>
              <w:rPr>
                <w:highlight w:val="black"/>
              </w:rPr>
            </w:pPr>
            <w:r w:rsidRPr="00FF3C47">
              <w:rPr>
                <w:highlight w:val="black"/>
              </w:rPr>
              <w:t>Mertschenk B.</w:t>
            </w:r>
          </w:p>
        </w:tc>
        <w:tc>
          <w:tcPr>
            <w:tcW w:w="270" w:type="pct"/>
          </w:tcPr>
          <w:p w:rsidR="00C04473" w:rsidRPr="00FF3C47" w:rsidRDefault="00C04473" w:rsidP="00C04473">
            <w:pPr>
              <w:pStyle w:val="RepTable"/>
              <w:jc w:val="center"/>
              <w:rPr>
                <w:highlight w:val="black"/>
              </w:rPr>
            </w:pPr>
            <w:r w:rsidRPr="00FF3C47">
              <w:rPr>
                <w:highlight w:val="black"/>
              </w:rPr>
              <w:t>1998</w:t>
            </w:r>
          </w:p>
        </w:tc>
        <w:tc>
          <w:tcPr>
            <w:tcW w:w="2948" w:type="pct"/>
          </w:tcPr>
          <w:p w:rsidR="00C04473" w:rsidRDefault="00C04473" w:rsidP="00C04473">
            <w:pPr>
              <w:pStyle w:val="RepTable"/>
            </w:pPr>
            <w:r>
              <w:t xml:space="preserve">Letter of access to use HLA Study No. 2319-132 for registration purposes 2-Amino-4-methoxy-6-methyl-s-triazin SKW Trostberg AG, Germany;Product Safety/Toxicology </w:t>
            </w:r>
          </w:p>
          <w:p w:rsidR="00C04473" w:rsidRDefault="00C04473" w:rsidP="00C04473">
            <w:pPr>
              <w:pStyle w:val="RepTable"/>
            </w:pPr>
            <w:r>
              <w:t>Report No.: C001736, Edition Number: M-182299-01-2</w:t>
            </w:r>
          </w:p>
          <w:p w:rsidR="00C04473" w:rsidRDefault="00C04473" w:rsidP="00C04473">
            <w:pPr>
              <w:pStyle w:val="RepTable"/>
            </w:pPr>
            <w:r>
              <w:t xml:space="preserve">Date: 1998-10-16 </w:t>
            </w:r>
          </w:p>
          <w:p w:rsidR="00FE6385" w:rsidRPr="00FE6385" w:rsidRDefault="00FE6385" w:rsidP="00FE6385">
            <w:pPr>
              <w:pStyle w:val="RepTable"/>
            </w:pPr>
            <w:r w:rsidRPr="00FE6385">
              <w:t>GLP/GEP: Yes</w:t>
            </w:r>
          </w:p>
          <w:p w:rsidR="00C04473" w:rsidRPr="00364872" w:rsidRDefault="00FE6385" w:rsidP="00FE6385">
            <w:pPr>
              <w:pStyle w:val="RepTable"/>
            </w:pPr>
            <w:r w:rsidRPr="00FE6385">
              <w:rPr>
                <w:lang w:val="en-US"/>
              </w:rPr>
              <w:t>Unpublished</w:t>
            </w:r>
          </w:p>
        </w:tc>
        <w:tc>
          <w:tcPr>
            <w:tcW w:w="360" w:type="pct"/>
          </w:tcPr>
          <w:p w:rsidR="00C04473" w:rsidRPr="007562A0" w:rsidRDefault="00C04473" w:rsidP="00C04473">
            <w:pPr>
              <w:pStyle w:val="RepTable"/>
              <w:jc w:val="center"/>
            </w:pPr>
            <w:r w:rsidRPr="001F4651">
              <w:t xml:space="preserve">N </w:t>
            </w:r>
          </w:p>
        </w:tc>
        <w:tc>
          <w:tcPr>
            <w:tcW w:w="439" w:type="pct"/>
          </w:tcPr>
          <w:p w:rsidR="00C04473" w:rsidRPr="007562A0" w:rsidRDefault="00C04473" w:rsidP="00C04473">
            <w:pPr>
              <w:pStyle w:val="RepTable"/>
              <w:jc w:val="center"/>
            </w:pPr>
            <w:r w:rsidRPr="001F4651">
              <w:t xml:space="preserve">Bayer CropScience </w:t>
            </w:r>
          </w:p>
        </w:tc>
      </w:tr>
      <w:tr w:rsidR="00C04473" w:rsidRPr="00B27D39" w:rsidTr="00195EDC">
        <w:tc>
          <w:tcPr>
            <w:tcW w:w="347" w:type="pct"/>
          </w:tcPr>
          <w:p w:rsidR="00C04473" w:rsidRDefault="00C04473" w:rsidP="00C04473">
            <w:pPr>
              <w:pStyle w:val="RepTable"/>
            </w:pPr>
            <w:r>
              <w:lastRenderedPageBreak/>
              <w:t xml:space="preserve">KCA </w:t>
            </w:r>
          </w:p>
          <w:p w:rsidR="00C04473" w:rsidRDefault="00C04473" w:rsidP="00C04473">
            <w:pPr>
              <w:pStyle w:val="RepTable"/>
            </w:pPr>
            <w:r>
              <w:t>5.8.1 /03</w:t>
            </w:r>
          </w:p>
        </w:tc>
        <w:tc>
          <w:tcPr>
            <w:tcW w:w="636" w:type="pct"/>
          </w:tcPr>
          <w:p w:rsidR="00C04473" w:rsidRPr="00FF3C47" w:rsidRDefault="00C04473" w:rsidP="00C04473">
            <w:pPr>
              <w:pStyle w:val="RepTable"/>
              <w:rPr>
                <w:highlight w:val="black"/>
              </w:rPr>
            </w:pPr>
            <w:r w:rsidRPr="00FF3C47">
              <w:rPr>
                <w:highlight w:val="black"/>
              </w:rPr>
              <w:t>Stammberger, I.; Braun, K</w:t>
            </w:r>
          </w:p>
        </w:tc>
        <w:tc>
          <w:tcPr>
            <w:tcW w:w="270" w:type="pct"/>
          </w:tcPr>
          <w:p w:rsidR="00C04473" w:rsidRPr="00FF3C47" w:rsidRDefault="00C04473" w:rsidP="00C04473">
            <w:pPr>
              <w:pStyle w:val="RepTable"/>
              <w:jc w:val="center"/>
              <w:rPr>
                <w:highlight w:val="black"/>
              </w:rPr>
            </w:pPr>
            <w:r w:rsidRPr="00FF3C47">
              <w:rPr>
                <w:highlight w:val="black"/>
              </w:rPr>
              <w:t>1998</w:t>
            </w:r>
          </w:p>
        </w:tc>
        <w:tc>
          <w:tcPr>
            <w:tcW w:w="2948" w:type="pct"/>
          </w:tcPr>
          <w:p w:rsidR="00C04473" w:rsidRDefault="00C04473" w:rsidP="00C04473">
            <w:pPr>
              <w:pStyle w:val="RepTable"/>
            </w:pPr>
            <w:r>
              <w:t xml:space="preserve">Bacterial reverse mutation test AE F059411 substance, technical Code: AE F059411 00 1C99 0001 Hoechst Marion Roussel, Frankfurt am Main, Germany </w:t>
            </w:r>
          </w:p>
          <w:p w:rsidR="00C04473" w:rsidRDefault="00C04473" w:rsidP="00C04473">
            <w:pPr>
              <w:pStyle w:val="RepTable"/>
            </w:pPr>
            <w:r>
              <w:t xml:space="preserve">Report No.: C000993, Report includes Trial Nos.: 98.0460, Edition Number: M-181601-01-1, EPA MRID No.: 45108903 </w:t>
            </w:r>
          </w:p>
          <w:p w:rsidR="00C04473" w:rsidRDefault="00C04473" w:rsidP="00C04473">
            <w:pPr>
              <w:pStyle w:val="RepTable"/>
            </w:pPr>
            <w:r>
              <w:t xml:space="preserve">Date: 1998-09-15 </w:t>
            </w:r>
          </w:p>
          <w:p w:rsidR="00FE6385" w:rsidRPr="00FE6385" w:rsidRDefault="00FE6385" w:rsidP="00FE6385">
            <w:pPr>
              <w:pStyle w:val="RepTable"/>
            </w:pPr>
            <w:r w:rsidRPr="00FE6385">
              <w:t>GLP/GEP: Yes</w:t>
            </w:r>
          </w:p>
          <w:p w:rsidR="00C04473" w:rsidRPr="00364872" w:rsidRDefault="00FE6385" w:rsidP="00FE6385">
            <w:pPr>
              <w:pStyle w:val="RepTable"/>
            </w:pPr>
            <w:r w:rsidRPr="00FE6385">
              <w:rPr>
                <w:lang w:val="en-US"/>
              </w:rPr>
              <w:t>Unpublished</w:t>
            </w:r>
          </w:p>
        </w:tc>
        <w:tc>
          <w:tcPr>
            <w:tcW w:w="360" w:type="pct"/>
          </w:tcPr>
          <w:p w:rsidR="00C04473" w:rsidRPr="007562A0" w:rsidRDefault="00C04473" w:rsidP="00C04473">
            <w:pPr>
              <w:pStyle w:val="RepTable"/>
              <w:jc w:val="center"/>
            </w:pPr>
            <w:r w:rsidRPr="00286727">
              <w:t xml:space="preserve">N </w:t>
            </w:r>
          </w:p>
        </w:tc>
        <w:tc>
          <w:tcPr>
            <w:tcW w:w="439" w:type="pct"/>
          </w:tcPr>
          <w:p w:rsidR="00C04473" w:rsidRPr="007562A0" w:rsidRDefault="00C04473" w:rsidP="00C04473">
            <w:pPr>
              <w:pStyle w:val="RepTable"/>
              <w:jc w:val="center"/>
            </w:pPr>
            <w:r w:rsidRPr="00286727">
              <w:t xml:space="preserve">Bayer CropScience </w:t>
            </w:r>
          </w:p>
        </w:tc>
      </w:tr>
      <w:tr w:rsidR="00ED7755" w:rsidRPr="00B27D39" w:rsidTr="00195EDC">
        <w:tc>
          <w:tcPr>
            <w:tcW w:w="347" w:type="pct"/>
          </w:tcPr>
          <w:p w:rsidR="00ED7755" w:rsidRDefault="00ED7755" w:rsidP="00ED7755">
            <w:pPr>
              <w:pStyle w:val="RepTable"/>
            </w:pPr>
            <w:r>
              <w:t xml:space="preserve">KCA </w:t>
            </w:r>
          </w:p>
          <w:p w:rsidR="00ED7755" w:rsidRDefault="00ED7755" w:rsidP="00ED7755">
            <w:pPr>
              <w:pStyle w:val="RepTable"/>
            </w:pPr>
            <w:r>
              <w:t>5.8.1 /04</w:t>
            </w:r>
          </w:p>
        </w:tc>
        <w:tc>
          <w:tcPr>
            <w:tcW w:w="636" w:type="pct"/>
          </w:tcPr>
          <w:p w:rsidR="00ED7755" w:rsidRPr="00FF3C47" w:rsidRDefault="000F03B2" w:rsidP="00ED7755">
            <w:pPr>
              <w:pStyle w:val="RepTable"/>
              <w:rPr>
                <w:highlight w:val="black"/>
              </w:rPr>
            </w:pPr>
            <w:r w:rsidRPr="00FF3C47">
              <w:rPr>
                <w:noProof w:val="0"/>
                <w:color w:val="000000"/>
                <w:kern w:val="2"/>
                <w:highlight w:val="black"/>
                <w:lang w:val="en-IE" w:eastAsia="en-IE"/>
              </w:rPr>
              <w:t>Anon</w:t>
            </w:r>
          </w:p>
        </w:tc>
        <w:tc>
          <w:tcPr>
            <w:tcW w:w="270" w:type="pct"/>
          </w:tcPr>
          <w:p w:rsidR="00ED7755" w:rsidRPr="00FF3C47" w:rsidRDefault="00ED7755" w:rsidP="00ED7755">
            <w:pPr>
              <w:pStyle w:val="RepTable"/>
              <w:jc w:val="center"/>
              <w:rPr>
                <w:highlight w:val="black"/>
              </w:rPr>
            </w:pPr>
            <w:r w:rsidRPr="00FF3C47">
              <w:rPr>
                <w:highlight w:val="black"/>
              </w:rPr>
              <w:t>1998</w:t>
            </w:r>
          </w:p>
        </w:tc>
        <w:tc>
          <w:tcPr>
            <w:tcW w:w="2948" w:type="pct"/>
          </w:tcPr>
          <w:p w:rsidR="00ED7755" w:rsidRDefault="00ED7755" w:rsidP="00ED7755">
            <w:pPr>
              <w:pStyle w:val="RepTable"/>
            </w:pPr>
            <w:r>
              <w:t xml:space="preserve">Acute oral toxicity in the male and female Sprague Dawley rat AE F114368 substance, technical Code: AE F114368 00 1C99 0001 xxxxxxxxxxxxxxxxxxxx </w:t>
            </w:r>
          </w:p>
          <w:p w:rsidR="00ED7755" w:rsidRDefault="00ED7755" w:rsidP="00ED7755">
            <w:pPr>
              <w:pStyle w:val="RepTable"/>
            </w:pPr>
            <w:r>
              <w:t xml:space="preserve">Report No.: C001347, Report includes Trial Nos.: 98.0457, Edition Number: M-182408-01-1, EPA MRID No.: 45108907 </w:t>
            </w:r>
          </w:p>
          <w:p w:rsidR="00ED7755" w:rsidRDefault="00ED7755" w:rsidP="00ED7755">
            <w:pPr>
              <w:pStyle w:val="RepTable"/>
            </w:pPr>
            <w:r>
              <w:t xml:space="preserve">Date: 1998-10-01 </w:t>
            </w:r>
          </w:p>
          <w:p w:rsidR="00FE6385" w:rsidRPr="00FE6385" w:rsidRDefault="00FE6385" w:rsidP="00FE6385">
            <w:pPr>
              <w:pStyle w:val="RepTable"/>
            </w:pPr>
            <w:r w:rsidRPr="00FE6385">
              <w:t>GLP/GEP: Yes</w:t>
            </w:r>
          </w:p>
          <w:p w:rsidR="00ED7755" w:rsidRDefault="00FE6385" w:rsidP="00FE6385">
            <w:pPr>
              <w:pStyle w:val="RepTable"/>
            </w:pPr>
            <w:r w:rsidRPr="00FE6385">
              <w:rPr>
                <w:lang w:val="en-US"/>
              </w:rPr>
              <w:t>Unpublished</w:t>
            </w:r>
          </w:p>
        </w:tc>
        <w:tc>
          <w:tcPr>
            <w:tcW w:w="360" w:type="pct"/>
          </w:tcPr>
          <w:p w:rsidR="00ED7755" w:rsidRPr="00286727" w:rsidRDefault="00ED7755" w:rsidP="00ED7755">
            <w:pPr>
              <w:pStyle w:val="RepTable"/>
              <w:jc w:val="center"/>
            </w:pPr>
            <w:r w:rsidRPr="00E2103B">
              <w:t xml:space="preserve">Y </w:t>
            </w:r>
          </w:p>
        </w:tc>
        <w:tc>
          <w:tcPr>
            <w:tcW w:w="439" w:type="pct"/>
          </w:tcPr>
          <w:p w:rsidR="00ED7755" w:rsidRPr="00286727" w:rsidRDefault="00ED7755" w:rsidP="00ED7755">
            <w:pPr>
              <w:pStyle w:val="RepTable"/>
              <w:jc w:val="center"/>
            </w:pPr>
            <w:r w:rsidRPr="00E2103B">
              <w:t xml:space="preserve">Bayer CropScience </w:t>
            </w:r>
          </w:p>
        </w:tc>
      </w:tr>
      <w:tr w:rsidR="00ED7755" w:rsidRPr="00B27D39" w:rsidTr="00195EDC">
        <w:tc>
          <w:tcPr>
            <w:tcW w:w="347" w:type="pct"/>
          </w:tcPr>
          <w:p w:rsidR="00ED7755" w:rsidRDefault="00ED7755" w:rsidP="00ED7755">
            <w:pPr>
              <w:pStyle w:val="RepTable"/>
            </w:pPr>
            <w:r>
              <w:t xml:space="preserve">KCA </w:t>
            </w:r>
          </w:p>
          <w:p w:rsidR="00ED7755" w:rsidRDefault="00ED7755" w:rsidP="00ED7755">
            <w:pPr>
              <w:pStyle w:val="RepTable"/>
            </w:pPr>
            <w:r>
              <w:t>5.8.1 /05</w:t>
            </w:r>
          </w:p>
        </w:tc>
        <w:tc>
          <w:tcPr>
            <w:tcW w:w="636" w:type="pct"/>
          </w:tcPr>
          <w:p w:rsidR="00ED7755" w:rsidRPr="00FF3C47" w:rsidRDefault="00ED7755" w:rsidP="00ED7755">
            <w:pPr>
              <w:pStyle w:val="RepTable"/>
              <w:rPr>
                <w:highlight w:val="black"/>
              </w:rPr>
            </w:pPr>
            <w:r w:rsidRPr="00FF3C47">
              <w:rPr>
                <w:highlight w:val="black"/>
              </w:rPr>
              <w:t>Stammberger, I.; Braun, K.</w:t>
            </w:r>
          </w:p>
        </w:tc>
        <w:tc>
          <w:tcPr>
            <w:tcW w:w="270" w:type="pct"/>
          </w:tcPr>
          <w:p w:rsidR="00ED7755" w:rsidRPr="00FF3C47" w:rsidRDefault="00ED7755" w:rsidP="00ED7755">
            <w:pPr>
              <w:pStyle w:val="RepTable"/>
              <w:jc w:val="center"/>
              <w:rPr>
                <w:highlight w:val="black"/>
              </w:rPr>
            </w:pPr>
            <w:r w:rsidRPr="00FF3C47">
              <w:rPr>
                <w:highlight w:val="black"/>
              </w:rPr>
              <w:t>1998</w:t>
            </w:r>
          </w:p>
        </w:tc>
        <w:tc>
          <w:tcPr>
            <w:tcW w:w="2948" w:type="pct"/>
          </w:tcPr>
          <w:p w:rsidR="00ED7755" w:rsidRDefault="00ED7755" w:rsidP="00ED7755">
            <w:pPr>
              <w:pStyle w:val="RepTable"/>
            </w:pPr>
            <w:r>
              <w:t xml:space="preserve">Bacterial reverse mutation test AE F114368 substance, technical Code: AE F114368 00 1C99 0001 Hoechst Marion Roussel, Frankfurt am Main, Germany </w:t>
            </w:r>
          </w:p>
          <w:p w:rsidR="00ED7755" w:rsidRDefault="00ED7755" w:rsidP="00ED7755">
            <w:pPr>
              <w:pStyle w:val="RepTable"/>
            </w:pPr>
            <w:r>
              <w:t xml:space="preserve">Report No.: C001107, Report includes Trial Nos.: 98.0458, Edition Number: M-181800-01-1, EPA MRID No.: 45108908 </w:t>
            </w:r>
          </w:p>
          <w:p w:rsidR="00ED7755" w:rsidRDefault="00ED7755" w:rsidP="00ED7755">
            <w:pPr>
              <w:pStyle w:val="RepTable"/>
            </w:pPr>
            <w:r>
              <w:t xml:space="preserve">Date: 1998-09-07 </w:t>
            </w:r>
          </w:p>
          <w:p w:rsidR="00FE6385" w:rsidRPr="00FE6385" w:rsidRDefault="00FE6385" w:rsidP="00FE6385">
            <w:pPr>
              <w:pStyle w:val="RepTable"/>
            </w:pPr>
            <w:r w:rsidRPr="00FE6385">
              <w:t>GLP/GEP: Yes</w:t>
            </w:r>
          </w:p>
          <w:p w:rsidR="00ED7755" w:rsidRDefault="00FE6385" w:rsidP="00FE6385">
            <w:pPr>
              <w:pStyle w:val="RepTable"/>
            </w:pPr>
            <w:r w:rsidRPr="00FE6385">
              <w:rPr>
                <w:lang w:val="en-US"/>
              </w:rPr>
              <w:t>Unpublished</w:t>
            </w:r>
          </w:p>
        </w:tc>
        <w:tc>
          <w:tcPr>
            <w:tcW w:w="360" w:type="pct"/>
          </w:tcPr>
          <w:p w:rsidR="00ED7755" w:rsidRPr="00286727" w:rsidRDefault="00ED7755" w:rsidP="00ED7755">
            <w:pPr>
              <w:pStyle w:val="RepTable"/>
              <w:jc w:val="center"/>
            </w:pPr>
            <w:r w:rsidRPr="00E52FB6">
              <w:t xml:space="preserve">N </w:t>
            </w:r>
          </w:p>
        </w:tc>
        <w:tc>
          <w:tcPr>
            <w:tcW w:w="439" w:type="pct"/>
          </w:tcPr>
          <w:p w:rsidR="00ED7755" w:rsidRPr="00286727" w:rsidRDefault="00ED7755" w:rsidP="00ED7755">
            <w:pPr>
              <w:pStyle w:val="RepTable"/>
              <w:jc w:val="center"/>
            </w:pPr>
            <w:r w:rsidRPr="00E52FB6">
              <w:t xml:space="preserve">Bayer CropScience </w:t>
            </w:r>
          </w:p>
        </w:tc>
      </w:tr>
      <w:tr w:rsidR="00ED7755" w:rsidRPr="00B27D39" w:rsidTr="00195EDC">
        <w:tc>
          <w:tcPr>
            <w:tcW w:w="347" w:type="pct"/>
          </w:tcPr>
          <w:p w:rsidR="00ED7755" w:rsidRDefault="00ED7755" w:rsidP="00ED7755">
            <w:pPr>
              <w:pStyle w:val="RepTable"/>
            </w:pPr>
            <w:r>
              <w:t xml:space="preserve">KCA </w:t>
            </w:r>
          </w:p>
          <w:p w:rsidR="00ED7755" w:rsidRDefault="00ED7755" w:rsidP="00ED7755">
            <w:pPr>
              <w:pStyle w:val="RepTable"/>
            </w:pPr>
            <w:r>
              <w:t>5.8.1 /06</w:t>
            </w:r>
          </w:p>
        </w:tc>
        <w:tc>
          <w:tcPr>
            <w:tcW w:w="636" w:type="pct"/>
          </w:tcPr>
          <w:p w:rsidR="00ED7755" w:rsidRPr="00FF3C47" w:rsidRDefault="000F03B2" w:rsidP="00ED7755">
            <w:pPr>
              <w:pStyle w:val="RepTable"/>
              <w:rPr>
                <w:highlight w:val="black"/>
              </w:rPr>
            </w:pPr>
            <w:r w:rsidRPr="00FF3C47">
              <w:rPr>
                <w:noProof w:val="0"/>
                <w:color w:val="000000"/>
                <w:kern w:val="2"/>
                <w:highlight w:val="black"/>
                <w:lang w:val="en-IE" w:eastAsia="en-IE"/>
              </w:rPr>
              <w:t>Anon</w:t>
            </w:r>
          </w:p>
        </w:tc>
        <w:tc>
          <w:tcPr>
            <w:tcW w:w="270" w:type="pct"/>
          </w:tcPr>
          <w:p w:rsidR="00ED7755" w:rsidRPr="00FF3C47" w:rsidRDefault="00ED7755" w:rsidP="00ED7755">
            <w:pPr>
              <w:pStyle w:val="RepTable"/>
              <w:jc w:val="center"/>
              <w:rPr>
                <w:highlight w:val="black"/>
              </w:rPr>
            </w:pPr>
            <w:r w:rsidRPr="00FF3C47">
              <w:rPr>
                <w:highlight w:val="black"/>
              </w:rPr>
              <w:t>1998</w:t>
            </w:r>
          </w:p>
        </w:tc>
        <w:tc>
          <w:tcPr>
            <w:tcW w:w="2948" w:type="pct"/>
          </w:tcPr>
          <w:p w:rsidR="00ED7755" w:rsidRDefault="00ED7755" w:rsidP="00ED7755">
            <w:pPr>
              <w:pStyle w:val="RepTable"/>
            </w:pPr>
            <w:r>
              <w:t xml:space="preserve">Acute oral toxicity in the male and female Sprague Dawley rat AE F143133 substance, technical Code: AE F143133 </w:t>
            </w:r>
          </w:p>
          <w:p w:rsidR="00ED7755" w:rsidRDefault="00ED7755" w:rsidP="00ED7755">
            <w:pPr>
              <w:pStyle w:val="RepTable"/>
            </w:pPr>
            <w:r>
              <w:t xml:space="preserve">00 1C98 0001 xxxxxxxxxxxxxxxxxxxx </w:t>
            </w:r>
          </w:p>
          <w:p w:rsidR="00ED7755" w:rsidRDefault="00ED7755" w:rsidP="00ED7755">
            <w:pPr>
              <w:pStyle w:val="RepTable"/>
            </w:pPr>
            <w:r>
              <w:t>Report No.: C001252, Report includes Trial Nos.: 98.0539</w:t>
            </w:r>
            <w:r w:rsidR="00EB2AE3">
              <w:t xml:space="preserve">, </w:t>
            </w:r>
            <w:r>
              <w:t>Edition Number: M-182169-01-1</w:t>
            </w:r>
            <w:r w:rsidR="00EB2AE3">
              <w:t xml:space="preserve">, </w:t>
            </w:r>
            <w:r>
              <w:t xml:space="preserve">EPA MRID No.: 45108909 </w:t>
            </w:r>
          </w:p>
          <w:p w:rsidR="00ED7755" w:rsidRDefault="00ED7755" w:rsidP="00ED7755">
            <w:pPr>
              <w:pStyle w:val="RepTable"/>
            </w:pPr>
            <w:r>
              <w:t xml:space="preserve">Date: 1998-11-11 </w:t>
            </w:r>
          </w:p>
          <w:p w:rsidR="00FE6385" w:rsidRPr="00FE6385" w:rsidRDefault="00FE6385" w:rsidP="00FE6385">
            <w:pPr>
              <w:pStyle w:val="RepTable"/>
            </w:pPr>
            <w:r w:rsidRPr="00FE6385">
              <w:t>GLP/GEP: Yes</w:t>
            </w:r>
          </w:p>
          <w:p w:rsidR="00ED7755" w:rsidRDefault="00FE6385" w:rsidP="00FE6385">
            <w:pPr>
              <w:pStyle w:val="RepTable"/>
            </w:pPr>
            <w:r w:rsidRPr="00FE6385">
              <w:rPr>
                <w:lang w:val="en-US"/>
              </w:rPr>
              <w:t>Unpublished</w:t>
            </w:r>
          </w:p>
        </w:tc>
        <w:tc>
          <w:tcPr>
            <w:tcW w:w="360" w:type="pct"/>
          </w:tcPr>
          <w:p w:rsidR="00ED7755" w:rsidRPr="00286727" w:rsidRDefault="00ED7755" w:rsidP="00ED7755">
            <w:pPr>
              <w:pStyle w:val="RepTable"/>
              <w:jc w:val="center"/>
            </w:pPr>
            <w:r w:rsidRPr="00AF225D">
              <w:t xml:space="preserve">Y </w:t>
            </w:r>
          </w:p>
        </w:tc>
        <w:tc>
          <w:tcPr>
            <w:tcW w:w="439" w:type="pct"/>
          </w:tcPr>
          <w:p w:rsidR="00ED7755" w:rsidRPr="00286727" w:rsidRDefault="00ED7755" w:rsidP="00ED7755">
            <w:pPr>
              <w:pStyle w:val="RepTable"/>
              <w:jc w:val="center"/>
            </w:pPr>
            <w:r w:rsidRPr="00AF225D">
              <w:t xml:space="preserve">Bayer CropScience </w:t>
            </w:r>
          </w:p>
        </w:tc>
      </w:tr>
      <w:tr w:rsidR="00F15942" w:rsidRPr="00B27D39" w:rsidTr="00195EDC">
        <w:tc>
          <w:tcPr>
            <w:tcW w:w="347" w:type="pct"/>
          </w:tcPr>
          <w:p w:rsidR="00F15942" w:rsidRDefault="00F15942" w:rsidP="00F15942">
            <w:pPr>
              <w:pStyle w:val="RepTable"/>
            </w:pPr>
            <w:r>
              <w:t xml:space="preserve">KCA </w:t>
            </w:r>
          </w:p>
          <w:p w:rsidR="00F15942" w:rsidRDefault="00F15942" w:rsidP="00F15942">
            <w:pPr>
              <w:pStyle w:val="RepTable"/>
            </w:pPr>
            <w:r>
              <w:t>5.8.1 /07</w:t>
            </w:r>
          </w:p>
        </w:tc>
        <w:tc>
          <w:tcPr>
            <w:tcW w:w="636" w:type="pct"/>
          </w:tcPr>
          <w:p w:rsidR="00F15942" w:rsidRPr="00FF3C47" w:rsidRDefault="00F15942" w:rsidP="00F15942">
            <w:pPr>
              <w:pStyle w:val="RepTable"/>
              <w:rPr>
                <w:highlight w:val="black"/>
              </w:rPr>
            </w:pPr>
            <w:r w:rsidRPr="00FF3C47">
              <w:rPr>
                <w:highlight w:val="black"/>
              </w:rPr>
              <w:t>Stammberger, I.; Braun, K.</w:t>
            </w:r>
          </w:p>
        </w:tc>
        <w:tc>
          <w:tcPr>
            <w:tcW w:w="270" w:type="pct"/>
          </w:tcPr>
          <w:p w:rsidR="00F15942" w:rsidRPr="00FF3C47" w:rsidRDefault="00F15942" w:rsidP="00F15942">
            <w:pPr>
              <w:pStyle w:val="RepTable"/>
              <w:jc w:val="center"/>
              <w:rPr>
                <w:highlight w:val="black"/>
              </w:rPr>
            </w:pPr>
            <w:r w:rsidRPr="00FF3C47">
              <w:rPr>
                <w:highlight w:val="black"/>
              </w:rPr>
              <w:t>1998</w:t>
            </w:r>
          </w:p>
        </w:tc>
        <w:tc>
          <w:tcPr>
            <w:tcW w:w="2948" w:type="pct"/>
          </w:tcPr>
          <w:p w:rsidR="00F15942" w:rsidRDefault="00F15942" w:rsidP="00F15942">
            <w:pPr>
              <w:pStyle w:val="RepTable"/>
            </w:pPr>
            <w:r>
              <w:t xml:space="preserve">Bacterial reverse mutation test AE F143133 substance, technical Code: AE F143133 00 1C98 0001 Hoechst Marion Roussel, Frankfurt am Main, Germany </w:t>
            </w:r>
          </w:p>
          <w:p w:rsidR="00F15942" w:rsidRDefault="00F15942" w:rsidP="00F15942">
            <w:pPr>
              <w:pStyle w:val="RepTable"/>
            </w:pPr>
            <w:r>
              <w:lastRenderedPageBreak/>
              <w:t xml:space="preserve">Report No.: C001348, Report includes Trial Nos.: 98.0540, Edition Number: M-182410-01-1, EPA MRID No.: 45108910 </w:t>
            </w:r>
          </w:p>
          <w:p w:rsidR="00F15942" w:rsidRDefault="00F15942" w:rsidP="00F15942">
            <w:pPr>
              <w:pStyle w:val="RepTable"/>
            </w:pPr>
            <w:r>
              <w:t xml:space="preserve">Date: 1998-10-29 </w:t>
            </w:r>
          </w:p>
          <w:p w:rsidR="00FE6385" w:rsidRPr="00FE6385" w:rsidRDefault="00FE6385" w:rsidP="00FE6385">
            <w:pPr>
              <w:pStyle w:val="RepTable"/>
            </w:pPr>
            <w:r w:rsidRPr="00FE6385">
              <w:t>GLP/GEP: Yes</w:t>
            </w:r>
          </w:p>
          <w:p w:rsidR="00F15942" w:rsidRDefault="00FE6385" w:rsidP="00FE6385">
            <w:pPr>
              <w:pStyle w:val="RepTable"/>
            </w:pPr>
            <w:r w:rsidRPr="00FE6385">
              <w:rPr>
                <w:lang w:val="en-US"/>
              </w:rPr>
              <w:t>Unpublished</w:t>
            </w:r>
          </w:p>
        </w:tc>
        <w:tc>
          <w:tcPr>
            <w:tcW w:w="360" w:type="pct"/>
          </w:tcPr>
          <w:p w:rsidR="00F15942" w:rsidRPr="00286727" w:rsidRDefault="00F15942" w:rsidP="00F15942">
            <w:pPr>
              <w:pStyle w:val="RepTable"/>
              <w:jc w:val="center"/>
            </w:pPr>
            <w:r w:rsidRPr="00B96AD6">
              <w:lastRenderedPageBreak/>
              <w:t xml:space="preserve">N </w:t>
            </w:r>
          </w:p>
        </w:tc>
        <w:tc>
          <w:tcPr>
            <w:tcW w:w="439" w:type="pct"/>
          </w:tcPr>
          <w:p w:rsidR="00F15942" w:rsidRPr="00286727" w:rsidRDefault="00F15942" w:rsidP="00F15942">
            <w:pPr>
              <w:pStyle w:val="RepTable"/>
              <w:jc w:val="center"/>
            </w:pPr>
            <w:r w:rsidRPr="00B96AD6">
              <w:t xml:space="preserve">Bayer CropScience </w:t>
            </w:r>
          </w:p>
        </w:tc>
      </w:tr>
      <w:tr w:rsidR="00F15942" w:rsidRPr="00B27D39" w:rsidTr="00195EDC">
        <w:tc>
          <w:tcPr>
            <w:tcW w:w="347" w:type="pct"/>
          </w:tcPr>
          <w:p w:rsidR="00F15942" w:rsidRDefault="00F15942" w:rsidP="00F15942">
            <w:pPr>
              <w:pStyle w:val="RepTable"/>
            </w:pPr>
            <w:r>
              <w:lastRenderedPageBreak/>
              <w:t xml:space="preserve">KCA </w:t>
            </w:r>
          </w:p>
          <w:p w:rsidR="00F15942" w:rsidRDefault="00F15942" w:rsidP="00F15942">
            <w:pPr>
              <w:pStyle w:val="RepTable"/>
            </w:pPr>
            <w:r>
              <w:t>5.8.2 /01</w:t>
            </w:r>
          </w:p>
        </w:tc>
        <w:tc>
          <w:tcPr>
            <w:tcW w:w="636" w:type="pct"/>
          </w:tcPr>
          <w:p w:rsidR="00F15942" w:rsidRPr="00FF3C47" w:rsidRDefault="000F03B2" w:rsidP="00F15942">
            <w:pPr>
              <w:pStyle w:val="RepTable"/>
              <w:rPr>
                <w:highlight w:val="black"/>
              </w:rPr>
            </w:pPr>
            <w:r w:rsidRPr="00FF3C47">
              <w:rPr>
                <w:noProof w:val="0"/>
                <w:color w:val="000000"/>
                <w:kern w:val="2"/>
                <w:highlight w:val="black"/>
                <w:lang w:val="en-IE" w:eastAsia="en-IE"/>
              </w:rPr>
              <w:t>Anon</w:t>
            </w:r>
          </w:p>
        </w:tc>
        <w:tc>
          <w:tcPr>
            <w:tcW w:w="270" w:type="pct"/>
          </w:tcPr>
          <w:p w:rsidR="00F15942" w:rsidRPr="00FF3C47" w:rsidRDefault="00F15942" w:rsidP="00F15942">
            <w:pPr>
              <w:pStyle w:val="RepTable"/>
              <w:jc w:val="center"/>
              <w:rPr>
                <w:highlight w:val="black"/>
              </w:rPr>
            </w:pPr>
            <w:r w:rsidRPr="00FF3C47">
              <w:rPr>
                <w:highlight w:val="black"/>
              </w:rPr>
              <w:t>1998</w:t>
            </w:r>
          </w:p>
        </w:tc>
        <w:tc>
          <w:tcPr>
            <w:tcW w:w="2948" w:type="pct"/>
          </w:tcPr>
          <w:p w:rsidR="00F15942" w:rsidRDefault="00F15942" w:rsidP="00F15942">
            <w:pPr>
              <w:pStyle w:val="RepTable"/>
            </w:pPr>
            <w:r>
              <w:t xml:space="preserve">Acute dermal toxicity in the male and female Sprague Dawley rat AE F114844 substance, technical Code: AE F114844 00 1C97 0001 xxxxxxxxxxxxxxxxxxx </w:t>
            </w:r>
          </w:p>
          <w:p w:rsidR="00F15942" w:rsidRDefault="00F15942" w:rsidP="00F15942">
            <w:pPr>
              <w:pStyle w:val="RepTable"/>
            </w:pPr>
            <w:r>
              <w:t xml:space="preserve">Report No.: C001253, Report includes Trial Nos.: 98.0541, Edition Number: M-182172-01-1, EPA MRID No.: 45108905 </w:t>
            </w:r>
          </w:p>
          <w:p w:rsidR="00F15942" w:rsidRDefault="00F15942" w:rsidP="00F15942">
            <w:pPr>
              <w:pStyle w:val="RepTable"/>
            </w:pPr>
            <w:r>
              <w:t xml:space="preserve">Date: 1998-10-22 </w:t>
            </w:r>
          </w:p>
          <w:p w:rsidR="00FE6385" w:rsidRPr="00FE6385" w:rsidRDefault="00FE6385" w:rsidP="00FE6385">
            <w:pPr>
              <w:pStyle w:val="RepTable"/>
            </w:pPr>
            <w:r w:rsidRPr="00FE6385">
              <w:t>GLP/GEP: Yes</w:t>
            </w:r>
          </w:p>
          <w:p w:rsidR="00F15942" w:rsidRDefault="00FE6385" w:rsidP="00FE6385">
            <w:pPr>
              <w:pStyle w:val="RepTable"/>
            </w:pPr>
            <w:r w:rsidRPr="00FE6385">
              <w:rPr>
                <w:lang w:val="en-US"/>
              </w:rPr>
              <w:t>Unpublished</w:t>
            </w:r>
          </w:p>
        </w:tc>
        <w:tc>
          <w:tcPr>
            <w:tcW w:w="360" w:type="pct"/>
          </w:tcPr>
          <w:p w:rsidR="00F15942" w:rsidRPr="00286727" w:rsidRDefault="00F15942" w:rsidP="00F15942">
            <w:pPr>
              <w:pStyle w:val="RepTable"/>
              <w:jc w:val="center"/>
            </w:pPr>
            <w:r w:rsidRPr="00EE3698">
              <w:t xml:space="preserve">Y </w:t>
            </w:r>
          </w:p>
        </w:tc>
        <w:tc>
          <w:tcPr>
            <w:tcW w:w="439" w:type="pct"/>
          </w:tcPr>
          <w:p w:rsidR="00F15942" w:rsidRPr="00286727" w:rsidRDefault="00F15942" w:rsidP="00F15942">
            <w:pPr>
              <w:pStyle w:val="RepTable"/>
              <w:jc w:val="center"/>
            </w:pPr>
            <w:r w:rsidRPr="00EE3698">
              <w:t xml:space="preserve">Bayer CropScience </w:t>
            </w:r>
          </w:p>
        </w:tc>
      </w:tr>
      <w:tr w:rsidR="00F15942" w:rsidRPr="00B27D39" w:rsidTr="00195EDC">
        <w:tc>
          <w:tcPr>
            <w:tcW w:w="347" w:type="pct"/>
          </w:tcPr>
          <w:p w:rsidR="00F15942" w:rsidRDefault="00F15942" w:rsidP="00F15942">
            <w:pPr>
              <w:pStyle w:val="RepTable"/>
            </w:pPr>
            <w:r>
              <w:t xml:space="preserve">KCA </w:t>
            </w:r>
          </w:p>
          <w:p w:rsidR="00F15942" w:rsidRDefault="00F15942" w:rsidP="00F15942">
            <w:pPr>
              <w:pStyle w:val="RepTable"/>
            </w:pPr>
            <w:r>
              <w:t>5.8.2 /02</w:t>
            </w:r>
          </w:p>
        </w:tc>
        <w:tc>
          <w:tcPr>
            <w:tcW w:w="636" w:type="pct"/>
          </w:tcPr>
          <w:p w:rsidR="00F15942" w:rsidRPr="00FF3C47" w:rsidRDefault="00F15942" w:rsidP="00F15942">
            <w:pPr>
              <w:pStyle w:val="RepTable"/>
              <w:rPr>
                <w:highlight w:val="black"/>
              </w:rPr>
            </w:pPr>
            <w:r w:rsidRPr="00FF3C47">
              <w:rPr>
                <w:highlight w:val="black"/>
              </w:rPr>
              <w:t>Stammberger, I.; Braun, K.</w:t>
            </w:r>
          </w:p>
        </w:tc>
        <w:tc>
          <w:tcPr>
            <w:tcW w:w="270" w:type="pct"/>
          </w:tcPr>
          <w:p w:rsidR="00F15942" w:rsidRPr="00FF3C47" w:rsidRDefault="00F15942" w:rsidP="00F15942">
            <w:pPr>
              <w:pStyle w:val="RepTable"/>
              <w:jc w:val="center"/>
              <w:rPr>
                <w:highlight w:val="black"/>
              </w:rPr>
            </w:pPr>
            <w:r w:rsidRPr="00FF3C47">
              <w:rPr>
                <w:highlight w:val="black"/>
              </w:rPr>
              <w:t>1998</w:t>
            </w:r>
          </w:p>
        </w:tc>
        <w:tc>
          <w:tcPr>
            <w:tcW w:w="2948" w:type="pct"/>
          </w:tcPr>
          <w:p w:rsidR="00F15942" w:rsidRDefault="00F15942" w:rsidP="00F15942">
            <w:pPr>
              <w:pStyle w:val="RepTable"/>
            </w:pPr>
            <w:r w:rsidRPr="00F15942">
              <w:t>Bacterial reverse mutation test AE F114844 substance, technical Code: AE F114844 00 1C97 0001 Hoechst Marion Roussel, Frankfurt am Main, Germany</w:t>
            </w:r>
          </w:p>
          <w:p w:rsidR="00756398" w:rsidRDefault="00756398" w:rsidP="00756398">
            <w:pPr>
              <w:pStyle w:val="RepTable"/>
            </w:pPr>
            <w:r>
              <w:t xml:space="preserve">Report No.: C001344, Report includes Trial Nos.: 98.0543, Edition Number: M-182403-01-1, EPA MRID No.: 45108906 </w:t>
            </w:r>
          </w:p>
          <w:p w:rsidR="00756398" w:rsidRDefault="00756398" w:rsidP="00756398">
            <w:pPr>
              <w:pStyle w:val="RepTable"/>
            </w:pPr>
            <w:r>
              <w:t xml:space="preserve">Date: 1998-10-15 </w:t>
            </w:r>
          </w:p>
          <w:p w:rsidR="00FE6385" w:rsidRPr="00FE6385" w:rsidRDefault="00FE6385" w:rsidP="00FE6385">
            <w:pPr>
              <w:pStyle w:val="RepTable"/>
            </w:pPr>
            <w:r w:rsidRPr="00FE6385">
              <w:t>GLP/GEP: Yes</w:t>
            </w:r>
          </w:p>
          <w:p w:rsidR="00756398" w:rsidRDefault="00FE6385" w:rsidP="00FE6385">
            <w:pPr>
              <w:pStyle w:val="RepTable"/>
            </w:pPr>
            <w:r w:rsidRPr="00FE6385">
              <w:rPr>
                <w:lang w:val="en-US"/>
              </w:rPr>
              <w:t>Unpublished</w:t>
            </w:r>
          </w:p>
        </w:tc>
        <w:tc>
          <w:tcPr>
            <w:tcW w:w="360" w:type="pct"/>
          </w:tcPr>
          <w:p w:rsidR="00F15942" w:rsidRPr="00286727" w:rsidRDefault="00F15942" w:rsidP="00F15942">
            <w:pPr>
              <w:pStyle w:val="RepTable"/>
              <w:jc w:val="center"/>
            </w:pPr>
            <w:r w:rsidRPr="002C7F1C">
              <w:t xml:space="preserve">N </w:t>
            </w:r>
          </w:p>
        </w:tc>
        <w:tc>
          <w:tcPr>
            <w:tcW w:w="439" w:type="pct"/>
          </w:tcPr>
          <w:p w:rsidR="00F15942" w:rsidRPr="00286727" w:rsidRDefault="00F15942" w:rsidP="00F15942">
            <w:pPr>
              <w:pStyle w:val="RepTable"/>
              <w:jc w:val="center"/>
            </w:pPr>
            <w:r w:rsidRPr="002C7F1C">
              <w:t xml:space="preserve">Bayer CropScience </w:t>
            </w:r>
          </w:p>
        </w:tc>
      </w:tr>
      <w:tr w:rsidR="00756398" w:rsidRPr="00B27D39" w:rsidTr="00195EDC">
        <w:tc>
          <w:tcPr>
            <w:tcW w:w="347" w:type="pct"/>
          </w:tcPr>
          <w:p w:rsidR="00756398" w:rsidRDefault="00756398" w:rsidP="00756398">
            <w:pPr>
              <w:pStyle w:val="RepTable"/>
            </w:pPr>
            <w:r>
              <w:t xml:space="preserve">KCA </w:t>
            </w:r>
          </w:p>
          <w:p w:rsidR="00756398" w:rsidRDefault="00756398" w:rsidP="00756398">
            <w:pPr>
              <w:pStyle w:val="RepTable"/>
            </w:pPr>
            <w:r>
              <w:t>5.8.2</w:t>
            </w:r>
          </w:p>
        </w:tc>
        <w:tc>
          <w:tcPr>
            <w:tcW w:w="636" w:type="pct"/>
          </w:tcPr>
          <w:p w:rsidR="00756398" w:rsidRPr="00FF3C47" w:rsidRDefault="000F03B2" w:rsidP="00756398">
            <w:pPr>
              <w:pStyle w:val="RepTable"/>
              <w:rPr>
                <w:highlight w:val="black"/>
              </w:rPr>
            </w:pPr>
            <w:r w:rsidRPr="00FF3C47">
              <w:rPr>
                <w:noProof w:val="0"/>
                <w:color w:val="000000"/>
                <w:kern w:val="2"/>
                <w:highlight w:val="black"/>
                <w:lang w:val="en-IE" w:eastAsia="en-IE"/>
              </w:rPr>
              <w:t>Anon</w:t>
            </w:r>
          </w:p>
        </w:tc>
        <w:tc>
          <w:tcPr>
            <w:tcW w:w="270" w:type="pct"/>
          </w:tcPr>
          <w:p w:rsidR="00756398" w:rsidRPr="00FF3C47" w:rsidRDefault="00756398" w:rsidP="00756398">
            <w:pPr>
              <w:pStyle w:val="RepTable"/>
              <w:jc w:val="center"/>
              <w:rPr>
                <w:highlight w:val="black"/>
              </w:rPr>
            </w:pPr>
            <w:r w:rsidRPr="00FF3C47">
              <w:rPr>
                <w:highlight w:val="black"/>
              </w:rPr>
              <w:t>2001</w:t>
            </w:r>
          </w:p>
        </w:tc>
        <w:tc>
          <w:tcPr>
            <w:tcW w:w="2948" w:type="pct"/>
          </w:tcPr>
          <w:p w:rsidR="00756398" w:rsidRDefault="00756398" w:rsidP="00756398">
            <w:pPr>
              <w:pStyle w:val="RepTable"/>
            </w:pPr>
            <w:r>
              <w:t xml:space="preserve">4-week toxicity study by oral route (dietary admixture) in beagle dogs followed by a 12-week treatment-free period xxxxxxxxxxxxxxxxxxxxxxx, </w:t>
            </w:r>
          </w:p>
          <w:p w:rsidR="00756398" w:rsidRDefault="00756398" w:rsidP="00756398">
            <w:pPr>
              <w:pStyle w:val="RepTable"/>
            </w:pPr>
            <w:r>
              <w:t xml:space="preserve">Report No.: 21602 TSC, Edition Number: M-454791-01-1 </w:t>
            </w:r>
          </w:p>
          <w:p w:rsidR="00756398" w:rsidRDefault="00756398" w:rsidP="00756398">
            <w:pPr>
              <w:pStyle w:val="RepTable"/>
            </w:pPr>
            <w:r>
              <w:t xml:space="preserve">Date: 2001-10-29 </w:t>
            </w:r>
          </w:p>
          <w:p w:rsidR="00FE6385" w:rsidRPr="00FE6385" w:rsidRDefault="00FE6385" w:rsidP="00FE6385">
            <w:pPr>
              <w:pStyle w:val="RepTable"/>
            </w:pPr>
            <w:r w:rsidRPr="00FE6385">
              <w:t>GLP/GEP: Yes</w:t>
            </w:r>
          </w:p>
          <w:p w:rsidR="00756398" w:rsidRDefault="00FE6385" w:rsidP="00FE6385">
            <w:pPr>
              <w:pStyle w:val="RepTable"/>
            </w:pPr>
            <w:r w:rsidRPr="00FE6385">
              <w:rPr>
                <w:lang w:val="en-US"/>
              </w:rPr>
              <w:t>Unpublished</w:t>
            </w:r>
          </w:p>
        </w:tc>
        <w:tc>
          <w:tcPr>
            <w:tcW w:w="360" w:type="pct"/>
          </w:tcPr>
          <w:p w:rsidR="00756398" w:rsidRPr="00286727" w:rsidRDefault="00756398" w:rsidP="00756398">
            <w:pPr>
              <w:pStyle w:val="RepTable"/>
              <w:jc w:val="center"/>
            </w:pPr>
            <w:r w:rsidRPr="003F588E">
              <w:t xml:space="preserve">Y </w:t>
            </w:r>
          </w:p>
        </w:tc>
        <w:tc>
          <w:tcPr>
            <w:tcW w:w="439" w:type="pct"/>
          </w:tcPr>
          <w:p w:rsidR="00756398" w:rsidRPr="00286727" w:rsidRDefault="00756398" w:rsidP="00756398">
            <w:pPr>
              <w:pStyle w:val="RepTable"/>
              <w:jc w:val="center"/>
            </w:pPr>
            <w:r w:rsidRPr="003F588E">
              <w:t xml:space="preserve">Bayer CropScience </w:t>
            </w:r>
          </w:p>
        </w:tc>
      </w:tr>
      <w:tr w:rsidR="00756398" w:rsidRPr="00B27D39" w:rsidTr="00195EDC">
        <w:tc>
          <w:tcPr>
            <w:tcW w:w="347" w:type="pct"/>
          </w:tcPr>
          <w:p w:rsidR="00756398" w:rsidRDefault="00756398" w:rsidP="00756398">
            <w:pPr>
              <w:pStyle w:val="RepTable"/>
            </w:pPr>
            <w:r>
              <w:t xml:space="preserve">KCA </w:t>
            </w:r>
          </w:p>
          <w:p w:rsidR="00756398" w:rsidRDefault="00756398" w:rsidP="00756398">
            <w:pPr>
              <w:pStyle w:val="RepTable"/>
            </w:pPr>
            <w:r>
              <w:t>5.9.1 /01</w:t>
            </w:r>
          </w:p>
        </w:tc>
        <w:tc>
          <w:tcPr>
            <w:tcW w:w="636" w:type="pct"/>
          </w:tcPr>
          <w:p w:rsidR="00756398" w:rsidRPr="00FF3C47" w:rsidRDefault="000F03B2" w:rsidP="00756398">
            <w:pPr>
              <w:pStyle w:val="RepTable"/>
              <w:rPr>
                <w:highlight w:val="black"/>
              </w:rPr>
            </w:pPr>
            <w:r w:rsidRPr="00FF3C47">
              <w:rPr>
                <w:noProof w:val="0"/>
                <w:color w:val="000000"/>
                <w:kern w:val="2"/>
                <w:highlight w:val="black"/>
                <w:lang w:val="en-IE" w:eastAsia="en-IE"/>
              </w:rPr>
              <w:t>Anon</w:t>
            </w:r>
          </w:p>
        </w:tc>
        <w:tc>
          <w:tcPr>
            <w:tcW w:w="270" w:type="pct"/>
          </w:tcPr>
          <w:p w:rsidR="00756398" w:rsidRPr="00FF3C47" w:rsidRDefault="00756398" w:rsidP="00756398">
            <w:pPr>
              <w:pStyle w:val="RepTable"/>
              <w:jc w:val="center"/>
              <w:rPr>
                <w:highlight w:val="black"/>
              </w:rPr>
            </w:pPr>
            <w:r w:rsidRPr="00FF3C47">
              <w:rPr>
                <w:highlight w:val="black"/>
              </w:rPr>
              <w:t>1998</w:t>
            </w:r>
          </w:p>
        </w:tc>
        <w:tc>
          <w:tcPr>
            <w:tcW w:w="2948" w:type="pct"/>
          </w:tcPr>
          <w:p w:rsidR="00756398" w:rsidRDefault="00756398" w:rsidP="00756398">
            <w:pPr>
              <w:pStyle w:val="RepTable"/>
            </w:pPr>
            <w:r>
              <w:t xml:space="preserve">Medical data. Medical surveillance of manufacturing plant personnel. Proposed first aid measures Jodosulfuron </w:t>
            </w:r>
          </w:p>
          <w:p w:rsidR="00756398" w:rsidRDefault="00756398" w:rsidP="00756398">
            <w:pPr>
              <w:pStyle w:val="RepTable"/>
            </w:pPr>
            <w:r>
              <w:t xml:space="preserve">Code: AE F115008 xxxxxxxxxxxxxxxx </w:t>
            </w:r>
          </w:p>
          <w:p w:rsidR="00756398" w:rsidRDefault="00756398" w:rsidP="00756398">
            <w:pPr>
              <w:pStyle w:val="RepTable"/>
            </w:pPr>
            <w:r>
              <w:t xml:space="preserve">Report No.: C001333, Edition Number: M-182378-01-1, EPA MRID No.: 45108914 </w:t>
            </w:r>
          </w:p>
          <w:p w:rsidR="00756398" w:rsidRDefault="00756398" w:rsidP="00756398">
            <w:pPr>
              <w:pStyle w:val="RepTable"/>
            </w:pPr>
            <w:r>
              <w:t xml:space="preserve">Date: 1998-10-29 </w:t>
            </w:r>
          </w:p>
          <w:p w:rsidR="00FE6385" w:rsidRPr="00FE6385" w:rsidRDefault="00FE6385" w:rsidP="00FE6385">
            <w:pPr>
              <w:pStyle w:val="RepTable"/>
            </w:pPr>
            <w:r w:rsidRPr="00FE6385">
              <w:t>GLP/GEP: Yes</w:t>
            </w:r>
          </w:p>
          <w:p w:rsidR="00756398" w:rsidRDefault="00FE6385" w:rsidP="00FE6385">
            <w:pPr>
              <w:pStyle w:val="RepTable"/>
            </w:pPr>
            <w:r w:rsidRPr="00FE6385">
              <w:rPr>
                <w:lang w:val="en-US"/>
              </w:rPr>
              <w:lastRenderedPageBreak/>
              <w:t>Unpublished</w:t>
            </w:r>
          </w:p>
        </w:tc>
        <w:tc>
          <w:tcPr>
            <w:tcW w:w="360" w:type="pct"/>
          </w:tcPr>
          <w:p w:rsidR="00756398" w:rsidRPr="00286727" w:rsidRDefault="00756398" w:rsidP="00756398">
            <w:pPr>
              <w:pStyle w:val="RepTable"/>
              <w:jc w:val="center"/>
            </w:pPr>
            <w:r w:rsidRPr="00675CF1">
              <w:lastRenderedPageBreak/>
              <w:t xml:space="preserve">Y </w:t>
            </w:r>
          </w:p>
        </w:tc>
        <w:tc>
          <w:tcPr>
            <w:tcW w:w="439" w:type="pct"/>
          </w:tcPr>
          <w:p w:rsidR="00756398" w:rsidRPr="00286727" w:rsidRDefault="00756398" w:rsidP="00756398">
            <w:pPr>
              <w:pStyle w:val="RepTable"/>
              <w:jc w:val="center"/>
            </w:pPr>
            <w:r w:rsidRPr="00675CF1">
              <w:t xml:space="preserve">Bayer CropScience </w:t>
            </w:r>
          </w:p>
        </w:tc>
      </w:tr>
      <w:tr w:rsidR="00756398" w:rsidRPr="00B27D39" w:rsidTr="00195EDC">
        <w:tc>
          <w:tcPr>
            <w:tcW w:w="347" w:type="pct"/>
          </w:tcPr>
          <w:p w:rsidR="00756398" w:rsidRDefault="00756398" w:rsidP="00756398">
            <w:pPr>
              <w:pStyle w:val="RepTable"/>
            </w:pPr>
            <w:r>
              <w:lastRenderedPageBreak/>
              <w:t xml:space="preserve">KCA </w:t>
            </w:r>
          </w:p>
          <w:p w:rsidR="00756398" w:rsidRDefault="00756398" w:rsidP="00756398">
            <w:pPr>
              <w:pStyle w:val="RepTable"/>
            </w:pPr>
            <w:r>
              <w:t>5.9.1 /02</w:t>
            </w:r>
          </w:p>
        </w:tc>
        <w:tc>
          <w:tcPr>
            <w:tcW w:w="636" w:type="pct"/>
          </w:tcPr>
          <w:p w:rsidR="00756398" w:rsidRPr="00FF3C47" w:rsidRDefault="00756398" w:rsidP="00756398">
            <w:pPr>
              <w:pStyle w:val="RepTable"/>
              <w:rPr>
                <w:highlight w:val="black"/>
              </w:rPr>
            </w:pPr>
            <w:r w:rsidRPr="00FF3C47">
              <w:rPr>
                <w:highlight w:val="black"/>
              </w:rPr>
              <w:t>Steffens, W.</w:t>
            </w:r>
          </w:p>
        </w:tc>
        <w:tc>
          <w:tcPr>
            <w:tcW w:w="270" w:type="pct"/>
          </w:tcPr>
          <w:p w:rsidR="00756398" w:rsidRPr="00FF3C47" w:rsidRDefault="00756398" w:rsidP="00756398">
            <w:pPr>
              <w:pStyle w:val="RepTable"/>
              <w:jc w:val="center"/>
              <w:rPr>
                <w:highlight w:val="black"/>
              </w:rPr>
            </w:pPr>
            <w:r w:rsidRPr="00FF3C47">
              <w:rPr>
                <w:highlight w:val="black"/>
              </w:rPr>
              <w:t>2014</w:t>
            </w:r>
          </w:p>
        </w:tc>
        <w:tc>
          <w:tcPr>
            <w:tcW w:w="2948" w:type="pct"/>
          </w:tcPr>
          <w:p w:rsidR="00756398" w:rsidRDefault="00756398" w:rsidP="00756398">
            <w:pPr>
              <w:pStyle w:val="RepTable"/>
            </w:pPr>
            <w:r>
              <w:t xml:space="preserve">Occupational medical experiences with iodosulfuron-methyl-sodium </w:t>
            </w:r>
          </w:p>
          <w:p w:rsidR="00756398" w:rsidRDefault="00756398" w:rsidP="00756398">
            <w:pPr>
              <w:pStyle w:val="RepTable"/>
            </w:pPr>
            <w:r>
              <w:t xml:space="preserve">Bayer CropScience, </w:t>
            </w:r>
          </w:p>
          <w:p w:rsidR="00756398" w:rsidRDefault="00756398" w:rsidP="00756398">
            <w:pPr>
              <w:pStyle w:val="RepTable"/>
            </w:pPr>
            <w:r>
              <w:t xml:space="preserve">Report No.: M-476230-01-1, Edition Number: M-476230-01-1 </w:t>
            </w:r>
          </w:p>
          <w:p w:rsidR="00756398" w:rsidRDefault="00756398" w:rsidP="00756398">
            <w:pPr>
              <w:pStyle w:val="RepTable"/>
            </w:pPr>
            <w:r>
              <w:t xml:space="preserve">Date: 2014-01-20 </w:t>
            </w:r>
          </w:p>
          <w:p w:rsidR="00FE6385" w:rsidRPr="00FE6385" w:rsidRDefault="00FE6385" w:rsidP="00FE6385">
            <w:pPr>
              <w:pStyle w:val="RepTable"/>
            </w:pPr>
            <w:r w:rsidRPr="00FE6385">
              <w:t>GLP/GEP: Yes</w:t>
            </w:r>
          </w:p>
          <w:p w:rsidR="00756398" w:rsidRDefault="00FE6385" w:rsidP="00FE6385">
            <w:pPr>
              <w:pStyle w:val="RepTable"/>
            </w:pPr>
            <w:r w:rsidRPr="00FE6385">
              <w:rPr>
                <w:lang w:val="en-US"/>
              </w:rPr>
              <w:t>Unpublished</w:t>
            </w:r>
          </w:p>
        </w:tc>
        <w:tc>
          <w:tcPr>
            <w:tcW w:w="360" w:type="pct"/>
          </w:tcPr>
          <w:p w:rsidR="00756398" w:rsidRPr="00286727" w:rsidRDefault="00756398" w:rsidP="00756398">
            <w:pPr>
              <w:pStyle w:val="RepTable"/>
              <w:jc w:val="center"/>
            </w:pPr>
            <w:r w:rsidRPr="00A17BA1">
              <w:t xml:space="preserve">N </w:t>
            </w:r>
          </w:p>
        </w:tc>
        <w:tc>
          <w:tcPr>
            <w:tcW w:w="439" w:type="pct"/>
          </w:tcPr>
          <w:p w:rsidR="00756398" w:rsidRPr="00286727" w:rsidRDefault="00756398" w:rsidP="00756398">
            <w:pPr>
              <w:pStyle w:val="RepTable"/>
              <w:jc w:val="center"/>
            </w:pPr>
            <w:r w:rsidRPr="00A17BA1">
              <w:t xml:space="preserve">Bayer CropScience </w:t>
            </w:r>
          </w:p>
        </w:tc>
      </w:tr>
      <w:bookmarkEnd w:id="560"/>
      <w:bookmarkEnd w:id="561"/>
    </w:tbl>
    <w:p w:rsidR="00F9783D" w:rsidRDefault="00F9783D" w:rsidP="00F9783D">
      <w:pPr>
        <w:pStyle w:val="RepStandard"/>
      </w:pPr>
    </w:p>
    <w:p w:rsidR="00E24EAF" w:rsidRPr="00E24EAF" w:rsidRDefault="00E24EAF" w:rsidP="00E24EAF"/>
    <w:p w:rsidR="00E24EAF" w:rsidRPr="00E24EAF" w:rsidRDefault="00E24EAF" w:rsidP="00E24EAF">
      <w:pPr>
        <w:keepNext/>
        <w:keepLines/>
        <w:spacing w:before="240" w:line="259" w:lineRule="auto"/>
        <w:ind w:left="-5" w:hanging="10"/>
        <w:outlineLvl w:val="5"/>
        <w:rPr>
          <w:b/>
          <w:color w:val="000000"/>
          <w:kern w:val="2"/>
          <w:sz w:val="24"/>
          <w:lang w:val="en-IE" w:eastAsia="en-IE"/>
        </w:rPr>
      </w:pPr>
      <w:proofErr w:type="spellStart"/>
      <w:r w:rsidRPr="00E24EAF">
        <w:rPr>
          <w:b/>
          <w:color w:val="000000"/>
          <w:kern w:val="2"/>
          <w:u w:val="single" w:color="000000"/>
          <w:lang w:val="en-IE" w:eastAsia="en-IE"/>
        </w:rPr>
        <w:t>Mesosulfuron</w:t>
      </w:r>
      <w:proofErr w:type="spellEnd"/>
      <w:r w:rsidRPr="00E24EAF">
        <w:rPr>
          <w:b/>
          <w:color w:val="000000"/>
          <w:kern w:val="2"/>
          <w:u w:val="single" w:color="000000"/>
          <w:lang w:val="en-IE" w:eastAsia="en-IE"/>
        </w:rPr>
        <w:t>-methyl</w:t>
      </w:r>
      <w:r w:rsidRPr="00E24EAF">
        <w:rPr>
          <w:b/>
          <w:color w:val="000000"/>
          <w:kern w:val="2"/>
          <w:lang w:val="en-IE" w:eastAsia="en-IE"/>
        </w:rPr>
        <w:t xml:space="preserve"> </w:t>
      </w:r>
    </w:p>
    <w:p w:rsidR="00E24EAF" w:rsidRDefault="00E24EAF" w:rsidP="00F9783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19"/>
        <w:gridCol w:w="1868"/>
        <w:gridCol w:w="793"/>
        <w:gridCol w:w="8658"/>
        <w:gridCol w:w="1057"/>
        <w:gridCol w:w="1289"/>
      </w:tblGrid>
      <w:tr w:rsidR="00B10DBB" w:rsidRPr="00B27D39" w:rsidTr="001D131F">
        <w:trPr>
          <w:tblHeader/>
        </w:trPr>
        <w:tc>
          <w:tcPr>
            <w:tcW w:w="347" w:type="pct"/>
            <w:vAlign w:val="center"/>
          </w:tcPr>
          <w:p w:rsidR="00B10DBB" w:rsidRPr="00B27D39" w:rsidRDefault="00B10DBB" w:rsidP="001D131F">
            <w:pPr>
              <w:pStyle w:val="RepTableHeader"/>
              <w:jc w:val="center"/>
              <w:rPr>
                <w:lang w:val="en-GB"/>
              </w:rPr>
            </w:pPr>
            <w:r w:rsidRPr="00B27D39">
              <w:rPr>
                <w:lang w:val="en-GB"/>
              </w:rPr>
              <w:t>Data point</w:t>
            </w:r>
          </w:p>
        </w:tc>
        <w:tc>
          <w:tcPr>
            <w:tcW w:w="636" w:type="pct"/>
            <w:vAlign w:val="center"/>
          </w:tcPr>
          <w:p w:rsidR="00B10DBB" w:rsidRPr="00B27D39" w:rsidRDefault="00B10DBB" w:rsidP="001D131F">
            <w:pPr>
              <w:pStyle w:val="RepTableHeader"/>
              <w:jc w:val="center"/>
              <w:rPr>
                <w:lang w:val="en-GB"/>
              </w:rPr>
            </w:pPr>
            <w:r w:rsidRPr="00B27D39">
              <w:rPr>
                <w:lang w:val="en-GB"/>
              </w:rPr>
              <w:t>Author(s)</w:t>
            </w:r>
          </w:p>
        </w:tc>
        <w:tc>
          <w:tcPr>
            <w:tcW w:w="270" w:type="pct"/>
            <w:vAlign w:val="center"/>
          </w:tcPr>
          <w:p w:rsidR="00B10DBB" w:rsidRPr="00B27D39" w:rsidRDefault="00B10DBB" w:rsidP="001D131F">
            <w:pPr>
              <w:pStyle w:val="RepTableHeader"/>
              <w:jc w:val="center"/>
              <w:rPr>
                <w:lang w:val="en-GB"/>
              </w:rPr>
            </w:pPr>
            <w:r w:rsidRPr="00B27D39">
              <w:rPr>
                <w:lang w:val="en-GB"/>
              </w:rPr>
              <w:t>Year</w:t>
            </w:r>
          </w:p>
        </w:tc>
        <w:tc>
          <w:tcPr>
            <w:tcW w:w="2948" w:type="pct"/>
            <w:vAlign w:val="center"/>
          </w:tcPr>
          <w:p w:rsidR="00B10DBB" w:rsidRPr="00B27D39" w:rsidRDefault="00B10DBB" w:rsidP="001D131F">
            <w:pPr>
              <w:pStyle w:val="RepTableHeader"/>
              <w:rPr>
                <w:lang w:val="en-GB"/>
              </w:rPr>
            </w:pPr>
            <w:r w:rsidRPr="00B27D39">
              <w:rPr>
                <w:lang w:val="en-GB"/>
              </w:rPr>
              <w:t>Title</w:t>
            </w:r>
            <w:r w:rsidRPr="00B27D39">
              <w:rPr>
                <w:lang w:val="en-GB"/>
              </w:rPr>
              <w:br/>
              <w:t>Company Report No.</w:t>
            </w:r>
            <w:r w:rsidRPr="00B27D39">
              <w:rPr>
                <w:lang w:val="en-GB"/>
              </w:rPr>
              <w:tab/>
            </w:r>
            <w:r w:rsidRPr="00B27D39">
              <w:rPr>
                <w:lang w:val="en-GB"/>
              </w:rPr>
              <w:br/>
              <w:t>Source (where different from company)</w:t>
            </w:r>
            <w:r w:rsidRPr="00B27D39">
              <w:rPr>
                <w:lang w:val="en-GB"/>
              </w:rPr>
              <w:br/>
              <w:t>GLP or GEP status</w:t>
            </w:r>
            <w:r w:rsidRPr="00B27D39">
              <w:rPr>
                <w:lang w:val="en-GB"/>
              </w:rPr>
              <w:br/>
              <w:t>Published or not</w:t>
            </w:r>
          </w:p>
        </w:tc>
        <w:tc>
          <w:tcPr>
            <w:tcW w:w="360" w:type="pct"/>
            <w:vAlign w:val="center"/>
          </w:tcPr>
          <w:p w:rsidR="00B10DBB" w:rsidRPr="00B27D39" w:rsidRDefault="00B10DBB" w:rsidP="001D131F">
            <w:pPr>
              <w:pStyle w:val="RepTableHeader"/>
              <w:jc w:val="center"/>
              <w:rPr>
                <w:lang w:val="en-GB"/>
              </w:rPr>
            </w:pPr>
            <w:r w:rsidRPr="00B27D39">
              <w:rPr>
                <w:lang w:val="en-GB"/>
              </w:rPr>
              <w:t>Vertebrate study</w:t>
            </w:r>
          </w:p>
          <w:p w:rsidR="00B10DBB" w:rsidRPr="00B27D39" w:rsidRDefault="00B10DBB" w:rsidP="001D131F">
            <w:pPr>
              <w:pStyle w:val="RepTableHeader"/>
              <w:jc w:val="center"/>
              <w:rPr>
                <w:lang w:val="en-GB"/>
              </w:rPr>
            </w:pPr>
            <w:r w:rsidRPr="00B27D39">
              <w:rPr>
                <w:lang w:val="en-GB"/>
              </w:rPr>
              <w:t>Y/N</w:t>
            </w:r>
          </w:p>
        </w:tc>
        <w:tc>
          <w:tcPr>
            <w:tcW w:w="439" w:type="pct"/>
            <w:vAlign w:val="center"/>
          </w:tcPr>
          <w:p w:rsidR="00B10DBB" w:rsidRPr="00B27D39" w:rsidRDefault="00B10DBB" w:rsidP="001D131F">
            <w:pPr>
              <w:pStyle w:val="RepTableHeader"/>
              <w:jc w:val="center"/>
              <w:rPr>
                <w:lang w:val="en-GB"/>
              </w:rPr>
            </w:pPr>
            <w:r w:rsidRPr="00B27D39">
              <w:rPr>
                <w:lang w:val="en-GB"/>
              </w:rPr>
              <w:t>Owner</w:t>
            </w:r>
          </w:p>
        </w:tc>
      </w:tr>
      <w:tr w:rsidR="00834F7A" w:rsidRPr="00B27D39" w:rsidTr="001D131F">
        <w:tc>
          <w:tcPr>
            <w:tcW w:w="347" w:type="pct"/>
          </w:tcPr>
          <w:p w:rsidR="00834F7A" w:rsidRPr="00B27D39" w:rsidRDefault="00834F7A" w:rsidP="00834F7A">
            <w:pPr>
              <w:pStyle w:val="RepTable"/>
            </w:pPr>
            <w:r w:rsidRPr="00B10DBB">
              <w:t>KCA 5.1.1 /10</w:t>
            </w:r>
          </w:p>
        </w:tc>
        <w:tc>
          <w:tcPr>
            <w:tcW w:w="636" w:type="pct"/>
          </w:tcPr>
          <w:p w:rsidR="00834F7A" w:rsidRPr="00FF3C47" w:rsidRDefault="000F03B2" w:rsidP="00834F7A">
            <w:pPr>
              <w:pStyle w:val="RepTable"/>
              <w:rPr>
                <w:highlight w:val="black"/>
              </w:rPr>
            </w:pPr>
            <w:r w:rsidRPr="00FF3C47">
              <w:rPr>
                <w:noProof w:val="0"/>
                <w:color w:val="000000"/>
                <w:kern w:val="2"/>
                <w:highlight w:val="black"/>
                <w:lang w:val="en-IE" w:eastAsia="en-IE"/>
              </w:rPr>
              <w:t>Anon</w:t>
            </w:r>
          </w:p>
        </w:tc>
        <w:tc>
          <w:tcPr>
            <w:tcW w:w="270" w:type="pct"/>
          </w:tcPr>
          <w:p w:rsidR="00834F7A" w:rsidRPr="00FF3C47" w:rsidRDefault="00834F7A" w:rsidP="00834F7A">
            <w:pPr>
              <w:pStyle w:val="RepTable"/>
              <w:jc w:val="center"/>
              <w:rPr>
                <w:highlight w:val="black"/>
              </w:rPr>
            </w:pPr>
            <w:r w:rsidRPr="00FF3C47">
              <w:rPr>
                <w:highlight w:val="black"/>
              </w:rPr>
              <w:t>2013</w:t>
            </w:r>
          </w:p>
        </w:tc>
        <w:tc>
          <w:tcPr>
            <w:tcW w:w="2948" w:type="pct"/>
          </w:tcPr>
          <w:p w:rsidR="00834F7A" w:rsidRDefault="00834F7A" w:rsidP="00834F7A">
            <w:pPr>
              <w:pStyle w:val="RepTable"/>
            </w:pPr>
            <w:r w:rsidRPr="00834F7A">
              <w:t>[Pyrimidyl-2-14C]mesosulfuron-methyl: Metabolic stability and profiling in liver microsomes from rats and humans for Inter-Species Comparison</w:t>
            </w:r>
          </w:p>
          <w:p w:rsidR="00834F7A" w:rsidRDefault="00834F7A" w:rsidP="00834F7A">
            <w:pPr>
              <w:pStyle w:val="RepTable"/>
            </w:pPr>
            <w:r>
              <w:t xml:space="preserve">Bayer CropScience,  </w:t>
            </w:r>
          </w:p>
          <w:p w:rsidR="00834F7A" w:rsidRDefault="00834F7A" w:rsidP="00834F7A">
            <w:pPr>
              <w:pStyle w:val="RepTable"/>
            </w:pPr>
            <w:r>
              <w:t xml:space="preserve">Report No.: EnSa-13-0829,  Edition Number: M-470477-01-1 </w:t>
            </w:r>
          </w:p>
          <w:p w:rsidR="00834F7A" w:rsidRDefault="00834F7A" w:rsidP="00834F7A">
            <w:pPr>
              <w:pStyle w:val="RepTable"/>
            </w:pPr>
            <w:r>
              <w:t xml:space="preserve">Date: 2013-11-15 </w:t>
            </w:r>
          </w:p>
          <w:p w:rsidR="00FE6385" w:rsidRPr="00FE6385" w:rsidRDefault="00FE6385" w:rsidP="00FE6385">
            <w:pPr>
              <w:pStyle w:val="RepTable"/>
            </w:pPr>
            <w:r w:rsidRPr="00FE6385">
              <w:t>GLP/GEP: Yes</w:t>
            </w:r>
          </w:p>
          <w:p w:rsidR="00834F7A" w:rsidRPr="00B27D39" w:rsidRDefault="00FE6385" w:rsidP="00FE6385">
            <w:pPr>
              <w:pStyle w:val="RepTable"/>
            </w:pPr>
            <w:r w:rsidRPr="00FE6385">
              <w:rPr>
                <w:lang w:val="en-US"/>
              </w:rPr>
              <w:t>Unpublished</w:t>
            </w:r>
          </w:p>
        </w:tc>
        <w:tc>
          <w:tcPr>
            <w:tcW w:w="360" w:type="pct"/>
            <w:tcBorders>
              <w:top w:val="single" w:sz="4" w:space="0" w:color="000000"/>
              <w:left w:val="single" w:sz="4" w:space="0" w:color="000000"/>
              <w:bottom w:val="single" w:sz="4" w:space="0" w:color="000000"/>
              <w:right w:val="single" w:sz="4" w:space="0" w:color="000000"/>
            </w:tcBorders>
          </w:tcPr>
          <w:p w:rsidR="00834F7A" w:rsidRPr="00B27D39" w:rsidRDefault="00834F7A" w:rsidP="00834F7A">
            <w:pPr>
              <w:pStyle w:val="RepTable"/>
              <w:jc w:val="center"/>
            </w:pPr>
            <w:r>
              <w:t xml:space="preserve">Y </w:t>
            </w:r>
          </w:p>
        </w:tc>
        <w:tc>
          <w:tcPr>
            <w:tcW w:w="439" w:type="pct"/>
            <w:tcBorders>
              <w:top w:val="single" w:sz="4" w:space="0" w:color="000000"/>
              <w:left w:val="single" w:sz="4" w:space="0" w:color="000000"/>
              <w:bottom w:val="single" w:sz="4" w:space="0" w:color="000000"/>
              <w:right w:val="single" w:sz="4" w:space="0" w:color="000000"/>
            </w:tcBorders>
          </w:tcPr>
          <w:p w:rsidR="00834F7A" w:rsidRPr="00B27D39" w:rsidRDefault="00834F7A" w:rsidP="00834F7A">
            <w:pPr>
              <w:pStyle w:val="RepTable"/>
              <w:jc w:val="center"/>
            </w:pPr>
            <w:r>
              <w:t xml:space="preserve">Bayer </w:t>
            </w:r>
          </w:p>
        </w:tc>
      </w:tr>
      <w:tr w:rsidR="00834F7A" w:rsidRPr="00B27D39" w:rsidTr="001D131F">
        <w:tc>
          <w:tcPr>
            <w:tcW w:w="347" w:type="pct"/>
          </w:tcPr>
          <w:p w:rsidR="00834F7A" w:rsidRPr="00B27D39" w:rsidRDefault="00834F7A" w:rsidP="00834F7A">
            <w:pPr>
              <w:pStyle w:val="RepTable"/>
            </w:pPr>
            <w:r w:rsidRPr="00834F7A">
              <w:t>KCA 5.2.6 /02</w:t>
            </w:r>
          </w:p>
        </w:tc>
        <w:tc>
          <w:tcPr>
            <w:tcW w:w="636" w:type="pct"/>
          </w:tcPr>
          <w:p w:rsidR="00834F7A" w:rsidRPr="00FF3C47" w:rsidRDefault="000F03B2" w:rsidP="00834F7A">
            <w:pPr>
              <w:pStyle w:val="RepTable"/>
              <w:rPr>
                <w:highlight w:val="black"/>
              </w:rPr>
            </w:pPr>
            <w:r w:rsidRPr="00FF3C47">
              <w:rPr>
                <w:noProof w:val="0"/>
                <w:color w:val="000000"/>
                <w:kern w:val="2"/>
                <w:highlight w:val="black"/>
                <w:lang w:val="en-IE" w:eastAsia="en-IE"/>
              </w:rPr>
              <w:t>Anon</w:t>
            </w:r>
          </w:p>
        </w:tc>
        <w:tc>
          <w:tcPr>
            <w:tcW w:w="270" w:type="pct"/>
          </w:tcPr>
          <w:p w:rsidR="00834F7A" w:rsidRPr="00FF3C47" w:rsidRDefault="00834F7A" w:rsidP="00834F7A">
            <w:pPr>
              <w:pStyle w:val="RepTable"/>
              <w:jc w:val="center"/>
              <w:rPr>
                <w:highlight w:val="black"/>
              </w:rPr>
            </w:pPr>
            <w:r w:rsidRPr="00FF3C47">
              <w:rPr>
                <w:highlight w:val="black"/>
              </w:rPr>
              <w:t>2003</w:t>
            </w:r>
          </w:p>
        </w:tc>
        <w:tc>
          <w:tcPr>
            <w:tcW w:w="2948" w:type="pct"/>
          </w:tcPr>
          <w:p w:rsidR="00834F7A" w:rsidRDefault="00834F7A" w:rsidP="00834F7A">
            <w:pPr>
              <w:pStyle w:val="RepTable"/>
            </w:pPr>
            <w:r w:rsidRPr="00834F7A">
              <w:t>1st amentment to report no.: AT00537 of July 10.2003 - Study for the skin sensitization effect in guinea pigs (Guinea pig maximization test according to Magnusson and Kligman)</w:t>
            </w:r>
          </w:p>
          <w:p w:rsidR="00834F7A" w:rsidRDefault="00834F7A" w:rsidP="00834F7A">
            <w:pPr>
              <w:pStyle w:val="RepTable"/>
            </w:pPr>
            <w:r>
              <w:t xml:space="preserve">Bayer CropScience,  </w:t>
            </w:r>
          </w:p>
          <w:p w:rsidR="00834F7A" w:rsidRDefault="00834F7A" w:rsidP="00834F7A">
            <w:pPr>
              <w:pStyle w:val="RepTable"/>
            </w:pPr>
            <w:r>
              <w:t>Report No.: T3072716,</w:t>
            </w:r>
            <w:r w:rsidR="00B339D9">
              <w:t xml:space="preserve"> </w:t>
            </w:r>
            <w:r>
              <w:t xml:space="preserve">Edition Number: M-235831-02-1 </w:t>
            </w:r>
          </w:p>
          <w:p w:rsidR="00834F7A" w:rsidRDefault="00834F7A" w:rsidP="00834F7A">
            <w:pPr>
              <w:pStyle w:val="RepTable"/>
            </w:pPr>
            <w:r>
              <w:t xml:space="preserve">Date: 2003-07-10...Amended: 2016-02-29 </w:t>
            </w:r>
          </w:p>
          <w:p w:rsidR="00FE6385" w:rsidRPr="00FE6385" w:rsidRDefault="00FE6385" w:rsidP="00FE6385">
            <w:pPr>
              <w:pStyle w:val="RepTable"/>
            </w:pPr>
            <w:r w:rsidRPr="00FE6385">
              <w:t>GLP/GEP: Yes</w:t>
            </w:r>
          </w:p>
          <w:p w:rsidR="00834F7A" w:rsidRPr="00B27D39" w:rsidRDefault="00FE6385" w:rsidP="00FE6385">
            <w:pPr>
              <w:pStyle w:val="RepTable"/>
            </w:pPr>
            <w:r w:rsidRPr="00FE6385">
              <w:rPr>
                <w:lang w:val="en-US"/>
              </w:rPr>
              <w:lastRenderedPageBreak/>
              <w:t>Unpublished</w:t>
            </w:r>
          </w:p>
        </w:tc>
        <w:tc>
          <w:tcPr>
            <w:tcW w:w="360" w:type="pct"/>
            <w:tcBorders>
              <w:top w:val="single" w:sz="4" w:space="0" w:color="000000"/>
              <w:left w:val="single" w:sz="4" w:space="0" w:color="000000"/>
              <w:bottom w:val="single" w:sz="4" w:space="0" w:color="000000"/>
              <w:right w:val="single" w:sz="4" w:space="0" w:color="000000"/>
            </w:tcBorders>
          </w:tcPr>
          <w:p w:rsidR="00834F7A" w:rsidRPr="00B27D39" w:rsidRDefault="00834F7A" w:rsidP="00834F7A">
            <w:pPr>
              <w:pStyle w:val="RepTable"/>
              <w:jc w:val="center"/>
            </w:pPr>
            <w:r>
              <w:lastRenderedPageBreak/>
              <w:t xml:space="preserve">Y </w:t>
            </w:r>
          </w:p>
        </w:tc>
        <w:tc>
          <w:tcPr>
            <w:tcW w:w="439" w:type="pct"/>
            <w:tcBorders>
              <w:top w:val="single" w:sz="4" w:space="0" w:color="000000"/>
              <w:left w:val="single" w:sz="4" w:space="0" w:color="000000"/>
              <w:bottom w:val="single" w:sz="4" w:space="0" w:color="000000"/>
              <w:right w:val="single" w:sz="4" w:space="0" w:color="000000"/>
            </w:tcBorders>
          </w:tcPr>
          <w:p w:rsidR="00834F7A" w:rsidRPr="00B27D39" w:rsidRDefault="00834F7A" w:rsidP="00834F7A">
            <w:pPr>
              <w:pStyle w:val="RepTable"/>
              <w:jc w:val="center"/>
            </w:pPr>
            <w:r>
              <w:t xml:space="preserve">Bayer </w:t>
            </w:r>
          </w:p>
        </w:tc>
      </w:tr>
      <w:tr w:rsidR="00B339D9" w:rsidRPr="00B27D39" w:rsidTr="001D131F">
        <w:tc>
          <w:tcPr>
            <w:tcW w:w="347" w:type="pct"/>
          </w:tcPr>
          <w:p w:rsidR="00B339D9" w:rsidRPr="00B27D39" w:rsidRDefault="00B339D9" w:rsidP="00B339D9">
            <w:pPr>
              <w:pStyle w:val="RepTable"/>
            </w:pPr>
            <w:r w:rsidRPr="00B339D9">
              <w:lastRenderedPageBreak/>
              <w:t>KCA 5.2.7 /01</w:t>
            </w:r>
          </w:p>
        </w:tc>
        <w:tc>
          <w:tcPr>
            <w:tcW w:w="636" w:type="pct"/>
          </w:tcPr>
          <w:p w:rsidR="00B339D9" w:rsidRPr="00FF3C47" w:rsidRDefault="00B339D9" w:rsidP="00B339D9">
            <w:pPr>
              <w:pStyle w:val="RepTable"/>
              <w:rPr>
                <w:highlight w:val="black"/>
              </w:rPr>
            </w:pPr>
            <w:r w:rsidRPr="00FF3C47">
              <w:rPr>
                <w:highlight w:val="black"/>
              </w:rPr>
              <w:t>Heppenheimer, A.</w:t>
            </w:r>
          </w:p>
        </w:tc>
        <w:tc>
          <w:tcPr>
            <w:tcW w:w="270" w:type="pct"/>
          </w:tcPr>
          <w:p w:rsidR="00B339D9" w:rsidRPr="00FF3C47" w:rsidRDefault="00B339D9" w:rsidP="00B339D9">
            <w:pPr>
              <w:pStyle w:val="RepTable"/>
              <w:jc w:val="center"/>
              <w:rPr>
                <w:highlight w:val="black"/>
              </w:rPr>
            </w:pPr>
            <w:r w:rsidRPr="00FF3C47">
              <w:rPr>
                <w:highlight w:val="black"/>
              </w:rPr>
              <w:t>2014</w:t>
            </w:r>
          </w:p>
        </w:tc>
        <w:tc>
          <w:tcPr>
            <w:tcW w:w="2948" w:type="pct"/>
          </w:tcPr>
          <w:p w:rsidR="00B339D9" w:rsidRDefault="00B339D9" w:rsidP="00B339D9">
            <w:pPr>
              <w:pStyle w:val="RepTable"/>
            </w:pPr>
            <w:r>
              <w:t xml:space="preserve">Mesosulfuron-methyl (AE F130060) technical: Cytotoxicity assay in vitro with BALB/c3T3 c31 cells: </w:t>
            </w:r>
          </w:p>
          <w:p w:rsidR="00B339D9" w:rsidRDefault="00B339D9" w:rsidP="00B339D9">
            <w:pPr>
              <w:pStyle w:val="RepTable"/>
            </w:pPr>
            <w:r>
              <w:t xml:space="preserve">Neutral Red (NR) test during simultaneous irradiation with artificial sunlight </w:t>
            </w:r>
          </w:p>
          <w:p w:rsidR="00B339D9" w:rsidRDefault="00B339D9" w:rsidP="00B339D9">
            <w:pPr>
              <w:pStyle w:val="RepTable"/>
            </w:pPr>
            <w:r>
              <w:t xml:space="preserve">Harlan Cytotest Cell Research GmbH (Harlan CCR), Rossdorf, Germany Bayer CropScience,  </w:t>
            </w:r>
          </w:p>
          <w:p w:rsidR="00B339D9" w:rsidRDefault="00B339D9" w:rsidP="00B339D9">
            <w:pPr>
              <w:pStyle w:val="RepTable"/>
            </w:pPr>
            <w:r>
              <w:t xml:space="preserve">Report No.: 1592100,  </w:t>
            </w:r>
          </w:p>
          <w:p w:rsidR="00FE6385" w:rsidRPr="00FE6385" w:rsidRDefault="00FE6385" w:rsidP="00FE6385">
            <w:pPr>
              <w:pStyle w:val="RepTable"/>
            </w:pPr>
            <w:r w:rsidRPr="00FE6385">
              <w:t>GLP/GEP: Yes</w:t>
            </w:r>
          </w:p>
          <w:p w:rsidR="00B339D9" w:rsidRPr="00B27D39" w:rsidRDefault="00FE6385" w:rsidP="00FE6385">
            <w:pPr>
              <w:pStyle w:val="RepTable"/>
            </w:pPr>
            <w:r w:rsidRPr="00FE6385">
              <w:rPr>
                <w:lang w:val="en-US"/>
              </w:rPr>
              <w:t>Unpublished</w:t>
            </w:r>
          </w:p>
        </w:tc>
        <w:tc>
          <w:tcPr>
            <w:tcW w:w="360" w:type="pct"/>
          </w:tcPr>
          <w:p w:rsidR="00B339D9" w:rsidRPr="00B27D39" w:rsidRDefault="00B339D9" w:rsidP="00B339D9">
            <w:pPr>
              <w:pStyle w:val="RepTable"/>
              <w:jc w:val="center"/>
            </w:pPr>
            <w:r w:rsidRPr="002D1ACF">
              <w:t xml:space="preserve">N </w:t>
            </w:r>
          </w:p>
        </w:tc>
        <w:tc>
          <w:tcPr>
            <w:tcW w:w="439" w:type="pct"/>
          </w:tcPr>
          <w:p w:rsidR="00B339D9" w:rsidRPr="00B27D39" w:rsidRDefault="00B339D9" w:rsidP="00B339D9">
            <w:pPr>
              <w:pStyle w:val="RepTable"/>
              <w:jc w:val="center"/>
            </w:pPr>
            <w:r w:rsidRPr="002D1ACF">
              <w:t xml:space="preserve">Bayer </w:t>
            </w:r>
          </w:p>
        </w:tc>
      </w:tr>
      <w:tr w:rsidR="00B339D9" w:rsidRPr="00B27D39" w:rsidTr="001D131F">
        <w:tc>
          <w:tcPr>
            <w:tcW w:w="347" w:type="pct"/>
          </w:tcPr>
          <w:p w:rsidR="00B339D9" w:rsidRPr="00B27D39" w:rsidRDefault="00B339D9" w:rsidP="00B339D9">
            <w:pPr>
              <w:pStyle w:val="RepTable"/>
            </w:pPr>
            <w:r w:rsidRPr="00B339D9">
              <w:t>KCA 5.4.1 /05</w:t>
            </w:r>
          </w:p>
        </w:tc>
        <w:tc>
          <w:tcPr>
            <w:tcW w:w="636" w:type="pct"/>
          </w:tcPr>
          <w:p w:rsidR="00B339D9" w:rsidRPr="00FF3C47" w:rsidRDefault="00B339D9" w:rsidP="00B339D9">
            <w:pPr>
              <w:pStyle w:val="RepTable"/>
              <w:rPr>
                <w:highlight w:val="black"/>
              </w:rPr>
            </w:pPr>
            <w:r w:rsidRPr="00FF3C47">
              <w:rPr>
                <w:highlight w:val="black"/>
              </w:rPr>
              <w:t>Sokolowski, A</w:t>
            </w:r>
          </w:p>
        </w:tc>
        <w:tc>
          <w:tcPr>
            <w:tcW w:w="270" w:type="pct"/>
          </w:tcPr>
          <w:p w:rsidR="00B339D9" w:rsidRPr="00FF3C47" w:rsidRDefault="00B339D9" w:rsidP="00B339D9">
            <w:pPr>
              <w:pStyle w:val="RepTable"/>
              <w:jc w:val="center"/>
              <w:rPr>
                <w:highlight w:val="black"/>
              </w:rPr>
            </w:pPr>
            <w:r w:rsidRPr="00FF3C47">
              <w:rPr>
                <w:highlight w:val="black"/>
              </w:rPr>
              <w:t>2016</w:t>
            </w:r>
          </w:p>
        </w:tc>
        <w:tc>
          <w:tcPr>
            <w:tcW w:w="2948" w:type="pct"/>
          </w:tcPr>
          <w:p w:rsidR="00B339D9" w:rsidRDefault="00B339D9" w:rsidP="00B339D9">
            <w:pPr>
              <w:pStyle w:val="RepTable"/>
            </w:pPr>
            <w:r>
              <w:t xml:space="preserve">Mesosulfuron-methyl (AE F130060): Salmonella typhimurium reverse mutation assay Envigo CRS GmbH, Rossdorf, Germany </w:t>
            </w:r>
          </w:p>
          <w:p w:rsidR="00B339D9" w:rsidRDefault="00B339D9" w:rsidP="00B339D9">
            <w:pPr>
              <w:pStyle w:val="RepTable"/>
            </w:pPr>
            <w:r>
              <w:t xml:space="preserve">Bayer CropScience,  </w:t>
            </w:r>
          </w:p>
          <w:p w:rsidR="00B339D9" w:rsidRDefault="00B339D9" w:rsidP="00B339D9">
            <w:pPr>
              <w:pStyle w:val="RepTable"/>
            </w:pPr>
            <w:r>
              <w:t xml:space="preserve">Report No.: 1744700,  </w:t>
            </w:r>
          </w:p>
          <w:p w:rsidR="00B339D9" w:rsidRDefault="00B339D9" w:rsidP="00B339D9">
            <w:pPr>
              <w:pStyle w:val="RepTable"/>
            </w:pPr>
            <w:r>
              <w:t xml:space="preserve">Edition Number: M-547488-01-1 </w:t>
            </w:r>
          </w:p>
          <w:p w:rsidR="00B339D9" w:rsidRDefault="00B339D9" w:rsidP="00B339D9">
            <w:pPr>
              <w:pStyle w:val="RepTable"/>
            </w:pPr>
            <w:r>
              <w:t>Date: 2016-02-12</w:t>
            </w:r>
          </w:p>
          <w:p w:rsidR="00FE6385" w:rsidRPr="00FE6385" w:rsidRDefault="00FE6385" w:rsidP="00FE6385">
            <w:pPr>
              <w:pStyle w:val="RepTable"/>
            </w:pPr>
            <w:r w:rsidRPr="00FE6385">
              <w:t>GLP/GEP: Yes</w:t>
            </w:r>
          </w:p>
          <w:p w:rsidR="00B339D9" w:rsidRPr="00B27D39" w:rsidRDefault="00FE6385" w:rsidP="00FE6385">
            <w:pPr>
              <w:pStyle w:val="RepTable"/>
            </w:pPr>
            <w:r w:rsidRPr="00FE6385">
              <w:rPr>
                <w:lang w:val="en-US"/>
              </w:rPr>
              <w:t>Unpublished</w:t>
            </w:r>
          </w:p>
        </w:tc>
        <w:tc>
          <w:tcPr>
            <w:tcW w:w="360" w:type="pct"/>
          </w:tcPr>
          <w:p w:rsidR="00B339D9" w:rsidRPr="00B27D39" w:rsidRDefault="00B339D9" w:rsidP="00B339D9">
            <w:pPr>
              <w:pStyle w:val="RepTable"/>
              <w:jc w:val="center"/>
            </w:pPr>
            <w:r w:rsidRPr="00D12BA7">
              <w:t xml:space="preserve">N </w:t>
            </w:r>
          </w:p>
        </w:tc>
        <w:tc>
          <w:tcPr>
            <w:tcW w:w="439" w:type="pct"/>
          </w:tcPr>
          <w:p w:rsidR="00B339D9" w:rsidRPr="00B27D39" w:rsidRDefault="00B339D9" w:rsidP="00B339D9">
            <w:pPr>
              <w:pStyle w:val="RepTable"/>
              <w:jc w:val="center"/>
            </w:pPr>
            <w:r w:rsidRPr="00D12BA7">
              <w:t xml:space="preserve">Bayer </w:t>
            </w:r>
          </w:p>
        </w:tc>
      </w:tr>
      <w:tr w:rsidR="00B339D9" w:rsidRPr="00B27D39" w:rsidTr="001D131F">
        <w:tc>
          <w:tcPr>
            <w:tcW w:w="347" w:type="pct"/>
          </w:tcPr>
          <w:p w:rsidR="00B339D9" w:rsidRPr="00B27D39" w:rsidRDefault="00B339D9" w:rsidP="00B339D9">
            <w:pPr>
              <w:pStyle w:val="RepTable"/>
            </w:pPr>
            <w:r w:rsidRPr="00B339D9">
              <w:t>KCA 5.8.1 /01</w:t>
            </w:r>
          </w:p>
        </w:tc>
        <w:tc>
          <w:tcPr>
            <w:tcW w:w="636" w:type="pct"/>
          </w:tcPr>
          <w:p w:rsidR="00B339D9" w:rsidRPr="00FF3C47" w:rsidRDefault="00B339D9" w:rsidP="00B339D9">
            <w:pPr>
              <w:pStyle w:val="RepTable"/>
              <w:rPr>
                <w:highlight w:val="black"/>
              </w:rPr>
            </w:pPr>
            <w:r w:rsidRPr="00FF3C47">
              <w:rPr>
                <w:highlight w:val="black"/>
              </w:rPr>
              <w:t>Sokolowski, A.</w:t>
            </w:r>
          </w:p>
        </w:tc>
        <w:tc>
          <w:tcPr>
            <w:tcW w:w="270" w:type="pct"/>
          </w:tcPr>
          <w:p w:rsidR="00B339D9" w:rsidRPr="00FF3C47" w:rsidRDefault="00B339D9" w:rsidP="00B339D9">
            <w:pPr>
              <w:pStyle w:val="RepTable"/>
              <w:jc w:val="center"/>
              <w:rPr>
                <w:highlight w:val="black"/>
              </w:rPr>
            </w:pPr>
            <w:r w:rsidRPr="00FF3C47">
              <w:rPr>
                <w:highlight w:val="black"/>
              </w:rPr>
              <w:t>2012</w:t>
            </w:r>
          </w:p>
        </w:tc>
        <w:tc>
          <w:tcPr>
            <w:tcW w:w="2948" w:type="pct"/>
          </w:tcPr>
          <w:p w:rsidR="00B339D9" w:rsidRDefault="00B339D9" w:rsidP="00B339D9">
            <w:pPr>
              <w:pStyle w:val="RepTable"/>
            </w:pPr>
            <w:r>
              <w:t xml:space="preserve">Salmonella typhimurium reverse mutation assay with AE F147447 </w:t>
            </w:r>
          </w:p>
          <w:p w:rsidR="00B339D9" w:rsidRDefault="00B339D9" w:rsidP="00B339D9">
            <w:pPr>
              <w:pStyle w:val="RepTable"/>
            </w:pPr>
            <w:r>
              <w:t xml:space="preserve">Harlan CCR, Rossdorf, Germany </w:t>
            </w:r>
          </w:p>
          <w:p w:rsidR="00B339D9" w:rsidRDefault="00B339D9" w:rsidP="00B339D9">
            <w:pPr>
              <w:pStyle w:val="RepTable"/>
            </w:pPr>
            <w:r>
              <w:t xml:space="preserve">Bayer CropScience,  </w:t>
            </w:r>
          </w:p>
          <w:p w:rsidR="00B339D9" w:rsidRDefault="00B339D9" w:rsidP="00B339D9">
            <w:pPr>
              <w:pStyle w:val="RepTable"/>
            </w:pPr>
            <w:r>
              <w:t xml:space="preserve">Report No.: 1462101,  </w:t>
            </w:r>
          </w:p>
          <w:p w:rsidR="00FE6385" w:rsidRPr="00FE6385" w:rsidRDefault="00FE6385" w:rsidP="00FE6385">
            <w:pPr>
              <w:pStyle w:val="RepTable"/>
            </w:pPr>
            <w:r w:rsidRPr="00FE6385">
              <w:t>GLP/GEP: Yes</w:t>
            </w:r>
          </w:p>
          <w:p w:rsidR="00B339D9" w:rsidRPr="00B27D39" w:rsidRDefault="00FE6385" w:rsidP="00FE6385">
            <w:pPr>
              <w:pStyle w:val="RepTable"/>
            </w:pPr>
            <w:r w:rsidRPr="00FE6385">
              <w:rPr>
                <w:lang w:val="en-US"/>
              </w:rPr>
              <w:t>Unpublished</w:t>
            </w:r>
          </w:p>
        </w:tc>
        <w:tc>
          <w:tcPr>
            <w:tcW w:w="360" w:type="pct"/>
          </w:tcPr>
          <w:p w:rsidR="00B339D9" w:rsidRPr="00B27D39" w:rsidRDefault="00B339D9" w:rsidP="00B339D9">
            <w:pPr>
              <w:pStyle w:val="RepTable"/>
              <w:jc w:val="center"/>
            </w:pPr>
            <w:r w:rsidRPr="00B32B7E">
              <w:t xml:space="preserve">N </w:t>
            </w:r>
          </w:p>
        </w:tc>
        <w:tc>
          <w:tcPr>
            <w:tcW w:w="439" w:type="pct"/>
          </w:tcPr>
          <w:p w:rsidR="00B339D9" w:rsidRPr="00B27D39" w:rsidRDefault="00B339D9" w:rsidP="00B339D9">
            <w:pPr>
              <w:pStyle w:val="RepTable"/>
              <w:jc w:val="center"/>
            </w:pPr>
            <w:r w:rsidRPr="00B32B7E">
              <w:t xml:space="preserve">Bayer </w:t>
            </w:r>
          </w:p>
        </w:tc>
      </w:tr>
      <w:tr w:rsidR="00B339D9" w:rsidRPr="00B27D39" w:rsidTr="001D131F">
        <w:tc>
          <w:tcPr>
            <w:tcW w:w="347" w:type="pct"/>
          </w:tcPr>
          <w:p w:rsidR="00B339D9" w:rsidRPr="00B27D39" w:rsidRDefault="00B339D9" w:rsidP="00B339D9">
            <w:pPr>
              <w:pStyle w:val="RepTable"/>
            </w:pPr>
            <w:r w:rsidRPr="00B339D9">
              <w:t>KCA 5.8.1 /02</w:t>
            </w:r>
          </w:p>
        </w:tc>
        <w:tc>
          <w:tcPr>
            <w:tcW w:w="636" w:type="pct"/>
          </w:tcPr>
          <w:p w:rsidR="00B339D9" w:rsidRPr="00FF3C47" w:rsidRDefault="000F03B2" w:rsidP="00B339D9">
            <w:pPr>
              <w:pStyle w:val="RepTable"/>
              <w:rPr>
                <w:highlight w:val="black"/>
              </w:rPr>
            </w:pPr>
            <w:r w:rsidRPr="00FF3C47">
              <w:rPr>
                <w:noProof w:val="0"/>
                <w:color w:val="000000"/>
                <w:kern w:val="2"/>
                <w:highlight w:val="black"/>
                <w:lang w:val="en-IE" w:eastAsia="en-IE"/>
              </w:rPr>
              <w:t>Anon</w:t>
            </w:r>
          </w:p>
        </w:tc>
        <w:tc>
          <w:tcPr>
            <w:tcW w:w="270" w:type="pct"/>
          </w:tcPr>
          <w:p w:rsidR="00B339D9" w:rsidRPr="00FF3C47" w:rsidRDefault="00B339D9" w:rsidP="00B339D9">
            <w:pPr>
              <w:pStyle w:val="RepTable"/>
              <w:jc w:val="center"/>
              <w:rPr>
                <w:highlight w:val="black"/>
              </w:rPr>
            </w:pPr>
            <w:r w:rsidRPr="00FF3C47">
              <w:rPr>
                <w:highlight w:val="black"/>
              </w:rPr>
              <w:t>2015</w:t>
            </w:r>
          </w:p>
        </w:tc>
        <w:tc>
          <w:tcPr>
            <w:tcW w:w="2948" w:type="pct"/>
          </w:tcPr>
          <w:p w:rsidR="00B339D9" w:rsidRDefault="00B339D9" w:rsidP="00B339D9">
            <w:pPr>
              <w:pStyle w:val="RepTable"/>
            </w:pPr>
            <w:r>
              <w:t xml:space="preserve">Report amendment - In vitro chromosome aberration test in Chinese hamster V79 cells with AE F147447 xxxxxxxxxxxxxxxx </w:t>
            </w:r>
          </w:p>
          <w:p w:rsidR="00B339D9" w:rsidRDefault="00B339D9" w:rsidP="00B339D9">
            <w:pPr>
              <w:pStyle w:val="RepTable"/>
            </w:pPr>
            <w:r>
              <w:t xml:space="preserve">Report No.: 1462102,  </w:t>
            </w:r>
          </w:p>
          <w:p w:rsidR="00FE6385" w:rsidRPr="00FE6385" w:rsidRDefault="00FE6385" w:rsidP="00FE6385">
            <w:pPr>
              <w:pStyle w:val="RepTable"/>
            </w:pPr>
            <w:r w:rsidRPr="00FE6385">
              <w:t>GLP/GEP: Yes</w:t>
            </w:r>
          </w:p>
          <w:p w:rsidR="00B339D9" w:rsidRPr="00B27D39" w:rsidRDefault="00FE6385" w:rsidP="00FE6385">
            <w:pPr>
              <w:pStyle w:val="RepTable"/>
            </w:pPr>
            <w:r w:rsidRPr="00FE6385">
              <w:rPr>
                <w:lang w:val="en-US"/>
              </w:rPr>
              <w:t>Unpublished</w:t>
            </w:r>
          </w:p>
        </w:tc>
        <w:tc>
          <w:tcPr>
            <w:tcW w:w="360" w:type="pct"/>
            <w:tcBorders>
              <w:top w:val="single" w:sz="4" w:space="0" w:color="000000"/>
              <w:left w:val="single" w:sz="4" w:space="0" w:color="000000"/>
              <w:bottom w:val="single" w:sz="4" w:space="0" w:color="000000"/>
              <w:right w:val="single" w:sz="4" w:space="0" w:color="000000"/>
            </w:tcBorders>
          </w:tcPr>
          <w:p w:rsidR="00B339D9" w:rsidRPr="00B27D39" w:rsidRDefault="00B339D9" w:rsidP="00B339D9">
            <w:pPr>
              <w:pStyle w:val="RepTable"/>
              <w:jc w:val="center"/>
            </w:pPr>
            <w:r>
              <w:t xml:space="preserve">N </w:t>
            </w:r>
          </w:p>
        </w:tc>
        <w:tc>
          <w:tcPr>
            <w:tcW w:w="439" w:type="pct"/>
            <w:tcBorders>
              <w:top w:val="single" w:sz="4" w:space="0" w:color="000000"/>
              <w:left w:val="single" w:sz="4" w:space="0" w:color="000000"/>
              <w:bottom w:val="single" w:sz="4" w:space="0" w:color="000000"/>
              <w:right w:val="single" w:sz="4" w:space="0" w:color="000000"/>
            </w:tcBorders>
          </w:tcPr>
          <w:p w:rsidR="00B339D9" w:rsidRPr="00B27D39" w:rsidRDefault="00B339D9" w:rsidP="00B339D9">
            <w:pPr>
              <w:pStyle w:val="RepTable"/>
              <w:jc w:val="center"/>
            </w:pPr>
            <w:r>
              <w:t xml:space="preserve">Bayer </w:t>
            </w:r>
          </w:p>
        </w:tc>
      </w:tr>
      <w:tr w:rsidR="00B339D9" w:rsidRPr="00B27D39" w:rsidTr="001D131F">
        <w:tc>
          <w:tcPr>
            <w:tcW w:w="347" w:type="pct"/>
          </w:tcPr>
          <w:p w:rsidR="00B339D9" w:rsidRPr="00B27D39" w:rsidRDefault="00B339D9" w:rsidP="00B339D9">
            <w:pPr>
              <w:pStyle w:val="RepTable"/>
            </w:pPr>
            <w:r w:rsidRPr="00B339D9">
              <w:t>KCA 5.8.1 /03</w:t>
            </w:r>
          </w:p>
        </w:tc>
        <w:tc>
          <w:tcPr>
            <w:tcW w:w="636" w:type="pct"/>
          </w:tcPr>
          <w:p w:rsidR="00B339D9" w:rsidRPr="00FF3C47" w:rsidRDefault="000F03B2" w:rsidP="00B339D9">
            <w:pPr>
              <w:pStyle w:val="RepTable"/>
              <w:rPr>
                <w:highlight w:val="black"/>
              </w:rPr>
            </w:pPr>
            <w:r w:rsidRPr="00FF3C47">
              <w:rPr>
                <w:noProof w:val="0"/>
                <w:color w:val="000000"/>
                <w:kern w:val="2"/>
                <w:highlight w:val="black"/>
                <w:lang w:val="en-IE" w:eastAsia="en-IE"/>
              </w:rPr>
              <w:t>Anon</w:t>
            </w:r>
          </w:p>
        </w:tc>
        <w:tc>
          <w:tcPr>
            <w:tcW w:w="270" w:type="pct"/>
          </w:tcPr>
          <w:p w:rsidR="00B339D9" w:rsidRPr="00FF3C47" w:rsidRDefault="00B339D9" w:rsidP="00B339D9">
            <w:pPr>
              <w:pStyle w:val="RepTable"/>
              <w:jc w:val="center"/>
              <w:rPr>
                <w:highlight w:val="black"/>
              </w:rPr>
            </w:pPr>
            <w:r w:rsidRPr="00FF3C47">
              <w:rPr>
                <w:highlight w:val="black"/>
              </w:rPr>
              <w:t>2012</w:t>
            </w:r>
          </w:p>
        </w:tc>
        <w:tc>
          <w:tcPr>
            <w:tcW w:w="2948" w:type="pct"/>
          </w:tcPr>
          <w:p w:rsidR="00B339D9" w:rsidRDefault="00B339D9" w:rsidP="00B339D9">
            <w:pPr>
              <w:pStyle w:val="RepTable"/>
            </w:pPr>
            <w:r>
              <w:t xml:space="preserve">Gene mutation assay in Chinese hamster V79 cells in vitro (V79 / HPRT) - AE F147447 xxxxxxxxxxxxxxxxx </w:t>
            </w:r>
          </w:p>
          <w:p w:rsidR="00B339D9" w:rsidRDefault="00B339D9" w:rsidP="00B339D9">
            <w:pPr>
              <w:pStyle w:val="RepTable"/>
            </w:pPr>
            <w:r>
              <w:t xml:space="preserve">Report No.: 1462103,  </w:t>
            </w:r>
          </w:p>
          <w:p w:rsidR="00FE6385" w:rsidRPr="00FE6385" w:rsidRDefault="00FE6385" w:rsidP="00FE6385">
            <w:pPr>
              <w:pStyle w:val="RepTable"/>
            </w:pPr>
            <w:r w:rsidRPr="00FE6385">
              <w:t>GLP/GEP: Yes</w:t>
            </w:r>
          </w:p>
          <w:p w:rsidR="00B339D9" w:rsidRPr="00B27D39" w:rsidRDefault="00FE6385" w:rsidP="00FE6385">
            <w:pPr>
              <w:pStyle w:val="RepTable"/>
            </w:pPr>
            <w:r w:rsidRPr="00FE6385">
              <w:rPr>
                <w:lang w:val="en-US"/>
              </w:rPr>
              <w:t>Unpublished</w:t>
            </w:r>
          </w:p>
        </w:tc>
        <w:tc>
          <w:tcPr>
            <w:tcW w:w="360" w:type="pct"/>
            <w:tcBorders>
              <w:top w:val="single" w:sz="4" w:space="0" w:color="000000"/>
              <w:left w:val="single" w:sz="4" w:space="0" w:color="000000"/>
              <w:bottom w:val="single" w:sz="4" w:space="0" w:color="000000"/>
              <w:right w:val="single" w:sz="4" w:space="0" w:color="000000"/>
            </w:tcBorders>
          </w:tcPr>
          <w:p w:rsidR="00B339D9" w:rsidRPr="00B27D39" w:rsidRDefault="00B339D9" w:rsidP="00B339D9">
            <w:pPr>
              <w:pStyle w:val="RepTable"/>
              <w:jc w:val="center"/>
            </w:pPr>
            <w:r>
              <w:t xml:space="preserve">N </w:t>
            </w:r>
          </w:p>
        </w:tc>
        <w:tc>
          <w:tcPr>
            <w:tcW w:w="439" w:type="pct"/>
            <w:tcBorders>
              <w:top w:val="single" w:sz="4" w:space="0" w:color="000000"/>
              <w:left w:val="single" w:sz="4" w:space="0" w:color="000000"/>
              <w:bottom w:val="single" w:sz="4" w:space="0" w:color="000000"/>
              <w:right w:val="single" w:sz="4" w:space="0" w:color="000000"/>
            </w:tcBorders>
          </w:tcPr>
          <w:p w:rsidR="00B339D9" w:rsidRPr="00B27D39" w:rsidRDefault="00B339D9" w:rsidP="00B339D9">
            <w:pPr>
              <w:pStyle w:val="RepTable"/>
              <w:jc w:val="center"/>
            </w:pPr>
            <w:r>
              <w:t xml:space="preserve">Bayer </w:t>
            </w:r>
          </w:p>
        </w:tc>
      </w:tr>
      <w:tr w:rsidR="0009745E" w:rsidRPr="00B27D39" w:rsidTr="001D131F">
        <w:tc>
          <w:tcPr>
            <w:tcW w:w="347" w:type="pct"/>
          </w:tcPr>
          <w:p w:rsidR="0009745E" w:rsidRPr="00B27D39" w:rsidRDefault="0009745E" w:rsidP="0009745E">
            <w:pPr>
              <w:pStyle w:val="RepTable"/>
            </w:pPr>
            <w:r w:rsidRPr="0009745E">
              <w:lastRenderedPageBreak/>
              <w:t>KCA 5.8.1 /04</w:t>
            </w:r>
          </w:p>
        </w:tc>
        <w:tc>
          <w:tcPr>
            <w:tcW w:w="636" w:type="pct"/>
          </w:tcPr>
          <w:p w:rsidR="0009745E" w:rsidRPr="00FF3C47" w:rsidRDefault="0009745E" w:rsidP="0009745E">
            <w:pPr>
              <w:pStyle w:val="RepTable"/>
              <w:rPr>
                <w:highlight w:val="black"/>
              </w:rPr>
            </w:pPr>
            <w:r w:rsidRPr="00FF3C47">
              <w:rPr>
                <w:highlight w:val="black"/>
              </w:rPr>
              <w:t>Sokolowski, A.</w:t>
            </w:r>
          </w:p>
        </w:tc>
        <w:tc>
          <w:tcPr>
            <w:tcW w:w="270" w:type="pct"/>
          </w:tcPr>
          <w:p w:rsidR="0009745E" w:rsidRPr="00FF3C47" w:rsidRDefault="0009745E" w:rsidP="0009745E">
            <w:pPr>
              <w:pStyle w:val="RepTable"/>
              <w:jc w:val="center"/>
              <w:rPr>
                <w:highlight w:val="black"/>
              </w:rPr>
            </w:pPr>
            <w:r w:rsidRPr="00FF3C47">
              <w:rPr>
                <w:highlight w:val="black"/>
              </w:rPr>
              <w:t>2012</w:t>
            </w:r>
          </w:p>
        </w:tc>
        <w:tc>
          <w:tcPr>
            <w:tcW w:w="2948" w:type="pct"/>
          </w:tcPr>
          <w:p w:rsidR="0009745E" w:rsidRDefault="0009745E" w:rsidP="0009745E">
            <w:pPr>
              <w:pStyle w:val="RepTable"/>
            </w:pPr>
            <w:r>
              <w:t xml:space="preserve">Salmonella typhimurium reverse mutation assay with AE F160460 </w:t>
            </w:r>
          </w:p>
          <w:p w:rsidR="0009745E" w:rsidRDefault="0009745E" w:rsidP="0009745E">
            <w:pPr>
              <w:pStyle w:val="RepTable"/>
            </w:pPr>
            <w:r>
              <w:t xml:space="preserve">Harlan CCR, Rossdorf, Germany </w:t>
            </w:r>
          </w:p>
          <w:p w:rsidR="0009745E" w:rsidRDefault="0009745E" w:rsidP="0009745E">
            <w:pPr>
              <w:pStyle w:val="RepTable"/>
            </w:pPr>
            <w:r>
              <w:t xml:space="preserve">Bayer CropScience,  </w:t>
            </w:r>
          </w:p>
          <w:p w:rsidR="0009745E" w:rsidRDefault="0009745E" w:rsidP="0009745E">
            <w:pPr>
              <w:pStyle w:val="RepTable"/>
            </w:pPr>
            <w:r>
              <w:t xml:space="preserve">Report No.: 1462301,  </w:t>
            </w:r>
          </w:p>
          <w:p w:rsidR="00FE6385" w:rsidRPr="00FE6385" w:rsidRDefault="0009745E" w:rsidP="00FE6385">
            <w:pPr>
              <w:pStyle w:val="RepTable"/>
            </w:pPr>
            <w:r>
              <w:t xml:space="preserve">Edition </w:t>
            </w:r>
            <w:r w:rsidR="00FE6385" w:rsidRPr="00FE6385">
              <w:t>GLP/GEP: Yes</w:t>
            </w:r>
          </w:p>
          <w:p w:rsidR="0009745E" w:rsidRPr="00B27D39" w:rsidRDefault="00FE6385" w:rsidP="00FE6385">
            <w:pPr>
              <w:pStyle w:val="RepTable"/>
            </w:pPr>
            <w:r w:rsidRPr="00FE6385">
              <w:rPr>
                <w:lang w:val="en-US"/>
              </w:rPr>
              <w:t>Unpublished</w:t>
            </w:r>
          </w:p>
        </w:tc>
        <w:tc>
          <w:tcPr>
            <w:tcW w:w="360" w:type="pct"/>
          </w:tcPr>
          <w:p w:rsidR="0009745E" w:rsidRPr="00B27D39" w:rsidRDefault="0009745E" w:rsidP="0009745E">
            <w:pPr>
              <w:pStyle w:val="RepTable"/>
              <w:jc w:val="center"/>
            </w:pPr>
            <w:r w:rsidRPr="006B27FF">
              <w:t xml:space="preserve">N </w:t>
            </w:r>
          </w:p>
        </w:tc>
        <w:tc>
          <w:tcPr>
            <w:tcW w:w="439" w:type="pct"/>
          </w:tcPr>
          <w:p w:rsidR="0009745E" w:rsidRPr="00B27D39" w:rsidRDefault="0009745E" w:rsidP="0009745E">
            <w:pPr>
              <w:pStyle w:val="RepTable"/>
              <w:jc w:val="center"/>
            </w:pPr>
            <w:r w:rsidRPr="006B27FF">
              <w:t xml:space="preserve">Bayer </w:t>
            </w:r>
          </w:p>
        </w:tc>
      </w:tr>
      <w:tr w:rsidR="0009745E" w:rsidRPr="00B27D39" w:rsidTr="001D131F">
        <w:tc>
          <w:tcPr>
            <w:tcW w:w="347" w:type="pct"/>
          </w:tcPr>
          <w:p w:rsidR="0009745E" w:rsidRPr="00B27D39" w:rsidRDefault="0009745E" w:rsidP="0009745E">
            <w:pPr>
              <w:pStyle w:val="RepTable"/>
            </w:pPr>
            <w:r w:rsidRPr="0009745E">
              <w:t>KCA 5.8.1 /05</w:t>
            </w:r>
          </w:p>
        </w:tc>
        <w:tc>
          <w:tcPr>
            <w:tcW w:w="636" w:type="pct"/>
          </w:tcPr>
          <w:p w:rsidR="0009745E" w:rsidRPr="00FF3C47" w:rsidRDefault="000F03B2" w:rsidP="0009745E">
            <w:pPr>
              <w:pStyle w:val="RepTable"/>
              <w:rPr>
                <w:highlight w:val="black"/>
              </w:rPr>
            </w:pPr>
            <w:r w:rsidRPr="00FF3C47">
              <w:rPr>
                <w:noProof w:val="0"/>
                <w:color w:val="000000"/>
                <w:kern w:val="2"/>
                <w:highlight w:val="black"/>
                <w:lang w:val="en-IE" w:eastAsia="en-IE"/>
              </w:rPr>
              <w:t>Anon</w:t>
            </w:r>
          </w:p>
        </w:tc>
        <w:tc>
          <w:tcPr>
            <w:tcW w:w="270" w:type="pct"/>
          </w:tcPr>
          <w:p w:rsidR="0009745E" w:rsidRPr="00FF3C47" w:rsidRDefault="0009745E" w:rsidP="0009745E">
            <w:pPr>
              <w:pStyle w:val="RepTable"/>
              <w:jc w:val="center"/>
              <w:rPr>
                <w:highlight w:val="black"/>
              </w:rPr>
            </w:pPr>
            <w:r w:rsidRPr="00FF3C47">
              <w:rPr>
                <w:highlight w:val="black"/>
              </w:rPr>
              <w:t>2015</w:t>
            </w:r>
          </w:p>
        </w:tc>
        <w:tc>
          <w:tcPr>
            <w:tcW w:w="2948" w:type="pct"/>
          </w:tcPr>
          <w:p w:rsidR="0009745E" w:rsidRDefault="0009745E" w:rsidP="0009745E">
            <w:pPr>
              <w:pStyle w:val="RepTable"/>
            </w:pPr>
            <w:r>
              <w:t xml:space="preserve">Report amendment - In vitro chromosome aberration test in Chinese hamster V79 cells with AE F160460 xxxxxxxxxxxxxxxxx </w:t>
            </w:r>
          </w:p>
          <w:p w:rsidR="0009745E" w:rsidRDefault="0009745E" w:rsidP="0009745E">
            <w:pPr>
              <w:pStyle w:val="RepTable"/>
            </w:pPr>
            <w:r>
              <w:t xml:space="preserve">Report No.: 1462302,  </w:t>
            </w:r>
          </w:p>
          <w:p w:rsidR="0000722F" w:rsidRDefault="0000722F" w:rsidP="0000722F">
            <w:pPr>
              <w:pStyle w:val="RepTable"/>
            </w:pPr>
            <w:r>
              <w:t>GLP/GEP: Yes</w:t>
            </w:r>
          </w:p>
          <w:p w:rsidR="0009745E" w:rsidRPr="00B27D39" w:rsidRDefault="0000722F" w:rsidP="0000722F">
            <w:pPr>
              <w:pStyle w:val="RepTable"/>
            </w:pPr>
            <w:r>
              <w:t>Unpublished</w:t>
            </w:r>
          </w:p>
        </w:tc>
        <w:tc>
          <w:tcPr>
            <w:tcW w:w="360" w:type="pct"/>
          </w:tcPr>
          <w:p w:rsidR="0009745E" w:rsidRPr="00B27D39" w:rsidRDefault="0009745E" w:rsidP="0009745E">
            <w:pPr>
              <w:pStyle w:val="RepTable"/>
              <w:jc w:val="center"/>
            </w:pPr>
            <w:r w:rsidRPr="005C007E">
              <w:t xml:space="preserve">N </w:t>
            </w:r>
          </w:p>
        </w:tc>
        <w:tc>
          <w:tcPr>
            <w:tcW w:w="439" w:type="pct"/>
          </w:tcPr>
          <w:p w:rsidR="0009745E" w:rsidRPr="00B27D39" w:rsidRDefault="0009745E" w:rsidP="0009745E">
            <w:pPr>
              <w:pStyle w:val="RepTable"/>
              <w:jc w:val="center"/>
            </w:pPr>
            <w:r w:rsidRPr="005C007E">
              <w:t xml:space="preserve">Bayer </w:t>
            </w:r>
          </w:p>
        </w:tc>
      </w:tr>
      <w:tr w:rsidR="00E745D6" w:rsidRPr="00B27D39" w:rsidTr="001D131F">
        <w:tc>
          <w:tcPr>
            <w:tcW w:w="347" w:type="pct"/>
          </w:tcPr>
          <w:p w:rsidR="00E745D6" w:rsidRPr="00B27D39" w:rsidRDefault="00E745D6" w:rsidP="00E745D6">
            <w:pPr>
              <w:pStyle w:val="RepTable"/>
            </w:pPr>
            <w:r w:rsidRPr="0009745E">
              <w:t>KCA 5.8.1 /06</w:t>
            </w:r>
          </w:p>
        </w:tc>
        <w:tc>
          <w:tcPr>
            <w:tcW w:w="636" w:type="pct"/>
          </w:tcPr>
          <w:p w:rsidR="00E745D6" w:rsidRPr="00FF3C47" w:rsidRDefault="000F03B2" w:rsidP="00E745D6">
            <w:pPr>
              <w:pStyle w:val="RepTable"/>
              <w:rPr>
                <w:highlight w:val="black"/>
              </w:rPr>
            </w:pPr>
            <w:r w:rsidRPr="00FF3C47">
              <w:rPr>
                <w:noProof w:val="0"/>
                <w:color w:val="000000"/>
                <w:kern w:val="2"/>
                <w:highlight w:val="black"/>
                <w:lang w:val="en-IE" w:eastAsia="en-IE"/>
              </w:rPr>
              <w:t>Anon</w:t>
            </w:r>
          </w:p>
        </w:tc>
        <w:tc>
          <w:tcPr>
            <w:tcW w:w="270" w:type="pct"/>
          </w:tcPr>
          <w:p w:rsidR="00E745D6" w:rsidRPr="00FF3C47" w:rsidRDefault="00E745D6" w:rsidP="00E745D6">
            <w:pPr>
              <w:pStyle w:val="RepTable"/>
              <w:jc w:val="center"/>
              <w:rPr>
                <w:highlight w:val="black"/>
              </w:rPr>
            </w:pPr>
            <w:r w:rsidRPr="00FF3C47">
              <w:rPr>
                <w:highlight w:val="black"/>
              </w:rPr>
              <w:t>2015</w:t>
            </w:r>
          </w:p>
        </w:tc>
        <w:tc>
          <w:tcPr>
            <w:tcW w:w="2948" w:type="pct"/>
          </w:tcPr>
          <w:p w:rsidR="00E745D6" w:rsidRDefault="00E745D6" w:rsidP="00E745D6">
            <w:pPr>
              <w:pStyle w:val="RepTable"/>
            </w:pPr>
            <w:r>
              <w:t xml:space="preserve">Report amendment no. 1 - Gene mutation assay in Chinese hamster V79 cells in vitro (V79 / HPRT) - AE </w:t>
            </w:r>
          </w:p>
          <w:p w:rsidR="00E745D6" w:rsidRDefault="00E745D6" w:rsidP="00E745D6">
            <w:pPr>
              <w:pStyle w:val="RepTable"/>
            </w:pPr>
            <w:r>
              <w:t xml:space="preserve">F160460 xxxxxxxxxxxxxxxxxxxxx </w:t>
            </w:r>
          </w:p>
          <w:p w:rsidR="00E745D6" w:rsidRDefault="00E745D6" w:rsidP="00E745D6">
            <w:pPr>
              <w:pStyle w:val="RepTable"/>
            </w:pPr>
            <w:r>
              <w:t xml:space="preserve">Report No.: 1462303,  </w:t>
            </w:r>
          </w:p>
          <w:p w:rsidR="0000722F" w:rsidRDefault="0000722F" w:rsidP="0000722F">
            <w:pPr>
              <w:pStyle w:val="RepTable"/>
            </w:pPr>
            <w:r>
              <w:t>GLP/GEP: Yes</w:t>
            </w:r>
          </w:p>
          <w:p w:rsidR="00E745D6" w:rsidRPr="00B27D39" w:rsidRDefault="0000722F" w:rsidP="0000722F">
            <w:pPr>
              <w:pStyle w:val="RepTable"/>
            </w:pPr>
            <w:r>
              <w:t>Unpublished</w:t>
            </w:r>
          </w:p>
        </w:tc>
        <w:tc>
          <w:tcPr>
            <w:tcW w:w="360" w:type="pct"/>
          </w:tcPr>
          <w:p w:rsidR="00E745D6" w:rsidRPr="00B27D39" w:rsidRDefault="00E745D6" w:rsidP="00E745D6">
            <w:pPr>
              <w:pStyle w:val="RepTable"/>
              <w:jc w:val="center"/>
            </w:pPr>
            <w:r w:rsidRPr="00943C6B">
              <w:t xml:space="preserve">N </w:t>
            </w:r>
          </w:p>
        </w:tc>
        <w:tc>
          <w:tcPr>
            <w:tcW w:w="439" w:type="pct"/>
          </w:tcPr>
          <w:p w:rsidR="00E745D6" w:rsidRPr="00B27D39" w:rsidRDefault="00E745D6" w:rsidP="00E745D6">
            <w:pPr>
              <w:pStyle w:val="RepTable"/>
              <w:jc w:val="center"/>
            </w:pPr>
            <w:r w:rsidRPr="00943C6B">
              <w:t xml:space="preserve">Bayer </w:t>
            </w:r>
          </w:p>
        </w:tc>
      </w:tr>
      <w:tr w:rsidR="00E745D6" w:rsidRPr="00B27D39" w:rsidTr="001D131F">
        <w:tc>
          <w:tcPr>
            <w:tcW w:w="347" w:type="pct"/>
          </w:tcPr>
          <w:p w:rsidR="00E745D6" w:rsidRPr="00B27D39" w:rsidRDefault="00E745D6" w:rsidP="00E745D6">
            <w:pPr>
              <w:pStyle w:val="RepTable"/>
            </w:pPr>
            <w:r w:rsidRPr="00E745D6">
              <w:t>KCA 5.8.1</w:t>
            </w:r>
            <w:r>
              <w:t>/07</w:t>
            </w:r>
          </w:p>
        </w:tc>
        <w:tc>
          <w:tcPr>
            <w:tcW w:w="636" w:type="pct"/>
          </w:tcPr>
          <w:p w:rsidR="00E745D6" w:rsidRPr="00FF3C47" w:rsidRDefault="00E745D6" w:rsidP="00E745D6">
            <w:pPr>
              <w:pStyle w:val="RepTable"/>
              <w:rPr>
                <w:highlight w:val="black"/>
              </w:rPr>
            </w:pPr>
            <w:r w:rsidRPr="00FF3C47">
              <w:rPr>
                <w:highlight w:val="black"/>
              </w:rPr>
              <w:t>Sokolowski, A.</w:t>
            </w:r>
          </w:p>
        </w:tc>
        <w:tc>
          <w:tcPr>
            <w:tcW w:w="270" w:type="pct"/>
          </w:tcPr>
          <w:p w:rsidR="00E745D6" w:rsidRPr="00FF3C47" w:rsidRDefault="00E745D6" w:rsidP="00E745D6">
            <w:pPr>
              <w:pStyle w:val="RepTable"/>
              <w:jc w:val="center"/>
              <w:rPr>
                <w:highlight w:val="black"/>
              </w:rPr>
            </w:pPr>
            <w:r w:rsidRPr="00FF3C47">
              <w:rPr>
                <w:highlight w:val="black"/>
              </w:rPr>
              <w:t>2012</w:t>
            </w:r>
          </w:p>
        </w:tc>
        <w:tc>
          <w:tcPr>
            <w:tcW w:w="2948" w:type="pct"/>
          </w:tcPr>
          <w:p w:rsidR="00E745D6" w:rsidRDefault="00E745D6" w:rsidP="00E745D6">
            <w:pPr>
              <w:pStyle w:val="RepTable"/>
            </w:pPr>
            <w:r w:rsidRPr="00E745D6">
              <w:t>Salmonella typhimurium reverse mutation assay with BCS-CV14885</w:t>
            </w:r>
          </w:p>
          <w:p w:rsidR="00E745D6" w:rsidRDefault="00E745D6" w:rsidP="00E745D6">
            <w:pPr>
              <w:pStyle w:val="RepTable"/>
            </w:pPr>
            <w:r>
              <w:t xml:space="preserve">Harlan Cytotest Cell Research GmbH (Harlan CCR), Rossdorf, Germany Bayer CropScience,  </w:t>
            </w:r>
          </w:p>
          <w:p w:rsidR="00E745D6" w:rsidRDefault="00E745D6" w:rsidP="00E745D6">
            <w:pPr>
              <w:pStyle w:val="RepTable"/>
            </w:pPr>
            <w:r>
              <w:t xml:space="preserve">Report No.: 1490201,  </w:t>
            </w:r>
          </w:p>
          <w:p w:rsidR="0000722F" w:rsidRDefault="0000722F" w:rsidP="0000722F">
            <w:pPr>
              <w:pStyle w:val="RepTable"/>
            </w:pPr>
            <w:r>
              <w:t>GLP/GEP: Yes</w:t>
            </w:r>
          </w:p>
          <w:p w:rsidR="00E745D6" w:rsidRPr="00B27D39" w:rsidRDefault="0000722F" w:rsidP="0000722F">
            <w:pPr>
              <w:pStyle w:val="RepTable"/>
            </w:pPr>
            <w:r>
              <w:t>Unpublished</w:t>
            </w:r>
          </w:p>
        </w:tc>
        <w:tc>
          <w:tcPr>
            <w:tcW w:w="360" w:type="pct"/>
          </w:tcPr>
          <w:p w:rsidR="00E745D6" w:rsidRPr="00B27D39" w:rsidRDefault="00E745D6" w:rsidP="00E745D6">
            <w:pPr>
              <w:pStyle w:val="RepTable"/>
              <w:jc w:val="center"/>
            </w:pPr>
            <w:r w:rsidRPr="00BE6FB6">
              <w:t xml:space="preserve">N </w:t>
            </w:r>
          </w:p>
        </w:tc>
        <w:tc>
          <w:tcPr>
            <w:tcW w:w="439" w:type="pct"/>
          </w:tcPr>
          <w:p w:rsidR="00E745D6" w:rsidRPr="00B27D39" w:rsidRDefault="00E745D6" w:rsidP="00E745D6">
            <w:pPr>
              <w:pStyle w:val="RepTable"/>
              <w:jc w:val="center"/>
            </w:pPr>
            <w:r w:rsidRPr="00BE6FB6">
              <w:t xml:space="preserve">Bayer </w:t>
            </w:r>
          </w:p>
        </w:tc>
      </w:tr>
      <w:tr w:rsidR="006D1CB5" w:rsidRPr="00B27D39" w:rsidTr="001D131F">
        <w:tc>
          <w:tcPr>
            <w:tcW w:w="347" w:type="pct"/>
          </w:tcPr>
          <w:p w:rsidR="006D1CB5" w:rsidRPr="00B27D39" w:rsidRDefault="006D1CB5" w:rsidP="006D1CB5">
            <w:pPr>
              <w:pStyle w:val="RepTable"/>
            </w:pPr>
            <w:r w:rsidRPr="00E745D6">
              <w:t>KCA 5.8.1 /08</w:t>
            </w:r>
          </w:p>
        </w:tc>
        <w:tc>
          <w:tcPr>
            <w:tcW w:w="636" w:type="pct"/>
          </w:tcPr>
          <w:p w:rsidR="006D1CB5" w:rsidRPr="00FF3C47" w:rsidRDefault="000F03B2" w:rsidP="006D1CB5">
            <w:pPr>
              <w:pStyle w:val="RepTable"/>
              <w:rPr>
                <w:highlight w:val="black"/>
              </w:rPr>
            </w:pPr>
            <w:r w:rsidRPr="00FF3C47">
              <w:rPr>
                <w:noProof w:val="0"/>
                <w:color w:val="000000"/>
                <w:kern w:val="2"/>
                <w:highlight w:val="black"/>
                <w:lang w:val="en-IE" w:eastAsia="en-IE"/>
              </w:rPr>
              <w:t>Anon</w:t>
            </w:r>
          </w:p>
        </w:tc>
        <w:tc>
          <w:tcPr>
            <w:tcW w:w="270" w:type="pct"/>
          </w:tcPr>
          <w:p w:rsidR="006D1CB5" w:rsidRPr="00FF3C47" w:rsidRDefault="006D1CB5" w:rsidP="006D1CB5">
            <w:pPr>
              <w:pStyle w:val="RepTable"/>
              <w:jc w:val="center"/>
              <w:rPr>
                <w:highlight w:val="black"/>
              </w:rPr>
            </w:pPr>
            <w:r w:rsidRPr="00FF3C47">
              <w:rPr>
                <w:highlight w:val="black"/>
              </w:rPr>
              <w:t>2015</w:t>
            </w:r>
          </w:p>
        </w:tc>
        <w:tc>
          <w:tcPr>
            <w:tcW w:w="2948" w:type="pct"/>
          </w:tcPr>
          <w:p w:rsidR="006D1CB5" w:rsidRDefault="006D1CB5" w:rsidP="006D1CB5">
            <w:pPr>
              <w:pStyle w:val="RepTable"/>
            </w:pPr>
            <w:r>
              <w:t xml:space="preserve">Report amendment - In vitro chromosome aberration test in Chinese hamster V79 cells with BCSCV14885 xxxxxxxxxxxxxxxxx </w:t>
            </w:r>
          </w:p>
          <w:p w:rsidR="006D1CB5" w:rsidRDefault="006D1CB5" w:rsidP="006D1CB5">
            <w:pPr>
              <w:pStyle w:val="RepTable"/>
            </w:pPr>
            <w:r>
              <w:t xml:space="preserve">Report No.: 1490202,  </w:t>
            </w:r>
          </w:p>
          <w:p w:rsidR="0000722F" w:rsidRDefault="0000722F" w:rsidP="0000722F">
            <w:pPr>
              <w:pStyle w:val="RepTable"/>
            </w:pPr>
            <w:r>
              <w:t>GLP/GEP: Yes</w:t>
            </w:r>
          </w:p>
          <w:p w:rsidR="006D1CB5" w:rsidRPr="00B27D39" w:rsidRDefault="0000722F" w:rsidP="0000722F">
            <w:pPr>
              <w:pStyle w:val="RepTable"/>
            </w:pPr>
            <w:r>
              <w:t>Unpublished</w:t>
            </w:r>
          </w:p>
        </w:tc>
        <w:tc>
          <w:tcPr>
            <w:tcW w:w="360" w:type="pct"/>
            <w:tcBorders>
              <w:top w:val="single" w:sz="4" w:space="0" w:color="000000"/>
              <w:left w:val="single" w:sz="4" w:space="0" w:color="000000"/>
              <w:bottom w:val="single" w:sz="4" w:space="0" w:color="000000"/>
              <w:right w:val="single" w:sz="4" w:space="0" w:color="000000"/>
            </w:tcBorders>
          </w:tcPr>
          <w:p w:rsidR="006D1CB5" w:rsidRPr="00B27D39" w:rsidRDefault="006D1CB5" w:rsidP="006D1CB5">
            <w:pPr>
              <w:pStyle w:val="RepTable"/>
              <w:jc w:val="center"/>
            </w:pPr>
            <w:r>
              <w:t xml:space="preserve">N </w:t>
            </w:r>
          </w:p>
        </w:tc>
        <w:tc>
          <w:tcPr>
            <w:tcW w:w="439" w:type="pct"/>
            <w:tcBorders>
              <w:top w:val="single" w:sz="4" w:space="0" w:color="000000"/>
              <w:left w:val="single" w:sz="4" w:space="0" w:color="000000"/>
              <w:bottom w:val="single" w:sz="4" w:space="0" w:color="000000"/>
              <w:right w:val="single" w:sz="4" w:space="0" w:color="000000"/>
            </w:tcBorders>
          </w:tcPr>
          <w:p w:rsidR="006D1CB5" w:rsidRPr="00B27D39" w:rsidRDefault="006D1CB5" w:rsidP="006D1CB5">
            <w:pPr>
              <w:pStyle w:val="RepTable"/>
              <w:jc w:val="center"/>
            </w:pPr>
            <w:r>
              <w:t xml:space="preserve">Bayer </w:t>
            </w:r>
          </w:p>
        </w:tc>
      </w:tr>
      <w:tr w:rsidR="006D1CB5" w:rsidRPr="00B27D39" w:rsidTr="001D131F">
        <w:tc>
          <w:tcPr>
            <w:tcW w:w="347" w:type="pct"/>
          </w:tcPr>
          <w:p w:rsidR="006D1CB5" w:rsidRPr="00B27D39" w:rsidRDefault="006D1CB5" w:rsidP="006D1CB5">
            <w:pPr>
              <w:pStyle w:val="RepTable"/>
            </w:pPr>
            <w:r w:rsidRPr="006D1CB5">
              <w:t>KCA 5.8.1 /09</w:t>
            </w:r>
          </w:p>
        </w:tc>
        <w:tc>
          <w:tcPr>
            <w:tcW w:w="636" w:type="pct"/>
          </w:tcPr>
          <w:p w:rsidR="006D1CB5" w:rsidRPr="00FF3C47" w:rsidRDefault="000F03B2" w:rsidP="006D1CB5">
            <w:pPr>
              <w:pStyle w:val="RepTable"/>
              <w:rPr>
                <w:highlight w:val="black"/>
              </w:rPr>
            </w:pPr>
            <w:r w:rsidRPr="00FF3C47">
              <w:rPr>
                <w:noProof w:val="0"/>
                <w:color w:val="000000"/>
                <w:kern w:val="2"/>
                <w:highlight w:val="black"/>
                <w:lang w:val="en-IE" w:eastAsia="en-IE"/>
              </w:rPr>
              <w:t>Anon</w:t>
            </w:r>
          </w:p>
        </w:tc>
        <w:tc>
          <w:tcPr>
            <w:tcW w:w="270" w:type="pct"/>
          </w:tcPr>
          <w:p w:rsidR="006D1CB5" w:rsidRPr="00FF3C47" w:rsidRDefault="006D1CB5" w:rsidP="006D1CB5">
            <w:pPr>
              <w:pStyle w:val="RepTable"/>
              <w:jc w:val="center"/>
              <w:rPr>
                <w:highlight w:val="black"/>
              </w:rPr>
            </w:pPr>
            <w:r w:rsidRPr="00FF3C47">
              <w:rPr>
                <w:highlight w:val="black"/>
              </w:rPr>
              <w:t>2015</w:t>
            </w:r>
          </w:p>
        </w:tc>
        <w:tc>
          <w:tcPr>
            <w:tcW w:w="2948" w:type="pct"/>
          </w:tcPr>
          <w:p w:rsidR="006D1CB5" w:rsidRDefault="006D1CB5" w:rsidP="006D1CB5">
            <w:pPr>
              <w:pStyle w:val="RepTable"/>
            </w:pPr>
            <w:r>
              <w:t xml:space="preserve">Report amendment no. 1 - Gene mutation assay in Chinese hamster V79 cells in vitro (V79/HPRT) - BCS-CV14885 xxxxxxxxxxxxxxxxx </w:t>
            </w:r>
          </w:p>
          <w:p w:rsidR="006D1CB5" w:rsidRDefault="006D1CB5" w:rsidP="006D1CB5">
            <w:pPr>
              <w:pStyle w:val="RepTable"/>
            </w:pPr>
            <w:r>
              <w:t xml:space="preserve">Report No.: 1490203,  </w:t>
            </w:r>
          </w:p>
          <w:p w:rsidR="0000722F" w:rsidRDefault="0000722F" w:rsidP="0000722F">
            <w:pPr>
              <w:pStyle w:val="RepTable"/>
            </w:pPr>
            <w:r>
              <w:t>GLP/GEP: Yes</w:t>
            </w:r>
          </w:p>
          <w:p w:rsidR="006D1CB5" w:rsidRPr="00B27D39" w:rsidRDefault="0000722F" w:rsidP="0000722F">
            <w:pPr>
              <w:pStyle w:val="RepTable"/>
            </w:pPr>
            <w:r>
              <w:t>Unpublished</w:t>
            </w:r>
          </w:p>
        </w:tc>
        <w:tc>
          <w:tcPr>
            <w:tcW w:w="360" w:type="pct"/>
          </w:tcPr>
          <w:p w:rsidR="006D1CB5" w:rsidRPr="00B27D39" w:rsidRDefault="006D1CB5" w:rsidP="006D1CB5">
            <w:pPr>
              <w:pStyle w:val="RepTable"/>
              <w:jc w:val="center"/>
            </w:pPr>
            <w:r w:rsidRPr="00CA3338">
              <w:t xml:space="preserve">N </w:t>
            </w:r>
          </w:p>
        </w:tc>
        <w:tc>
          <w:tcPr>
            <w:tcW w:w="439" w:type="pct"/>
          </w:tcPr>
          <w:p w:rsidR="006D1CB5" w:rsidRPr="00B27D39" w:rsidRDefault="006D1CB5" w:rsidP="006D1CB5">
            <w:pPr>
              <w:pStyle w:val="RepTable"/>
              <w:jc w:val="center"/>
            </w:pPr>
            <w:r w:rsidRPr="00CA3338">
              <w:t xml:space="preserve">Bayer </w:t>
            </w:r>
          </w:p>
        </w:tc>
      </w:tr>
      <w:tr w:rsidR="008D0A4A" w:rsidRPr="00B27D39" w:rsidTr="001D131F">
        <w:tc>
          <w:tcPr>
            <w:tcW w:w="347" w:type="pct"/>
          </w:tcPr>
          <w:p w:rsidR="008D0A4A" w:rsidRDefault="008D0A4A" w:rsidP="008D0A4A">
            <w:pPr>
              <w:pStyle w:val="RepTable"/>
            </w:pPr>
            <w:r>
              <w:lastRenderedPageBreak/>
              <w:t xml:space="preserve">KIIIA </w:t>
            </w:r>
          </w:p>
          <w:p w:rsidR="008D0A4A" w:rsidRDefault="008D0A4A" w:rsidP="008D0A4A">
            <w:pPr>
              <w:pStyle w:val="RepTable"/>
            </w:pPr>
            <w:r>
              <w:t xml:space="preserve">7.1.1 /01 </w:t>
            </w:r>
          </w:p>
          <w:p w:rsidR="008D0A4A" w:rsidRDefault="008D0A4A" w:rsidP="008D0A4A">
            <w:pPr>
              <w:pStyle w:val="RepTable"/>
            </w:pPr>
            <w:r>
              <w:t xml:space="preserve">(KCP </w:t>
            </w:r>
          </w:p>
          <w:p w:rsidR="008D0A4A" w:rsidRPr="00B27D39" w:rsidRDefault="008D0A4A" w:rsidP="008D0A4A">
            <w:pPr>
              <w:pStyle w:val="RepTable"/>
            </w:pPr>
            <w:r>
              <w:t>7.1.1/01)</w:t>
            </w:r>
          </w:p>
        </w:tc>
        <w:tc>
          <w:tcPr>
            <w:tcW w:w="636" w:type="pct"/>
          </w:tcPr>
          <w:p w:rsidR="008D0A4A" w:rsidRPr="00FF3C47" w:rsidRDefault="000F03B2" w:rsidP="008D0A4A">
            <w:pPr>
              <w:pStyle w:val="RepTable"/>
              <w:rPr>
                <w:highlight w:val="black"/>
              </w:rPr>
            </w:pPr>
            <w:r w:rsidRPr="00FF3C47">
              <w:rPr>
                <w:noProof w:val="0"/>
                <w:color w:val="000000"/>
                <w:kern w:val="2"/>
                <w:highlight w:val="black"/>
                <w:lang w:val="en-IE" w:eastAsia="en-IE"/>
              </w:rPr>
              <w:t>Anon</w:t>
            </w:r>
          </w:p>
        </w:tc>
        <w:tc>
          <w:tcPr>
            <w:tcW w:w="270" w:type="pct"/>
          </w:tcPr>
          <w:p w:rsidR="008D0A4A" w:rsidRPr="00FF3C47" w:rsidRDefault="008D0A4A" w:rsidP="008D0A4A">
            <w:pPr>
              <w:pStyle w:val="RepTable"/>
              <w:jc w:val="center"/>
              <w:rPr>
                <w:highlight w:val="black"/>
              </w:rPr>
            </w:pPr>
            <w:r w:rsidRPr="00FF3C47">
              <w:rPr>
                <w:highlight w:val="black"/>
              </w:rPr>
              <w:t>2003a</w:t>
            </w:r>
          </w:p>
        </w:tc>
        <w:tc>
          <w:tcPr>
            <w:tcW w:w="2948" w:type="pct"/>
          </w:tcPr>
          <w:p w:rsidR="008D0A4A" w:rsidRDefault="008D0A4A" w:rsidP="008D0A4A">
            <w:pPr>
              <w:pStyle w:val="RepTable"/>
            </w:pPr>
            <w:r w:rsidRPr="008D0A4A">
              <w:t xml:space="preserve">Mesosulfuron-methyl &amp; iodosulfuron-methyl-sodium &amp; mefenpyr-diethyl OD 10+2+30 (AE F115008 06 OD04 A1 - Atlantis liquid) Acute toxicity in the rat after oral administration  </w:t>
            </w:r>
          </w:p>
          <w:p w:rsidR="008D0A4A" w:rsidRDefault="008D0A4A" w:rsidP="008D0A4A">
            <w:pPr>
              <w:pStyle w:val="RepTable"/>
            </w:pPr>
            <w:r>
              <w:t xml:space="preserve">Report No: AT00872. Bayer CropScience, No.: C038675, </w:t>
            </w:r>
          </w:p>
          <w:p w:rsidR="008D0A4A" w:rsidRDefault="008D0A4A" w:rsidP="008D0A4A">
            <w:pPr>
              <w:pStyle w:val="RepTable"/>
            </w:pPr>
            <w:r>
              <w:t xml:space="preserve">Date: 2003-12-12 </w:t>
            </w:r>
          </w:p>
          <w:p w:rsidR="0000722F" w:rsidRDefault="0000722F" w:rsidP="0000722F">
            <w:pPr>
              <w:pStyle w:val="RepTable"/>
            </w:pPr>
            <w:r>
              <w:t>GLP/GEP: Yes</w:t>
            </w:r>
          </w:p>
          <w:p w:rsidR="008D0A4A" w:rsidRPr="00B27D39" w:rsidRDefault="0000722F" w:rsidP="0000722F">
            <w:pPr>
              <w:pStyle w:val="RepTable"/>
            </w:pPr>
            <w:r>
              <w:t>Unpublished</w:t>
            </w:r>
          </w:p>
        </w:tc>
        <w:tc>
          <w:tcPr>
            <w:tcW w:w="360" w:type="pct"/>
          </w:tcPr>
          <w:p w:rsidR="008D0A4A" w:rsidRPr="00B27D39" w:rsidRDefault="008D0A4A" w:rsidP="008D0A4A">
            <w:pPr>
              <w:pStyle w:val="RepTable"/>
              <w:jc w:val="center"/>
            </w:pPr>
            <w:r w:rsidRPr="008840F7">
              <w:t xml:space="preserve">Y </w:t>
            </w:r>
          </w:p>
        </w:tc>
        <w:tc>
          <w:tcPr>
            <w:tcW w:w="439" w:type="pct"/>
          </w:tcPr>
          <w:p w:rsidR="008D0A4A" w:rsidRPr="00B27D39" w:rsidRDefault="008D0A4A" w:rsidP="008D0A4A">
            <w:pPr>
              <w:pStyle w:val="RepTable"/>
              <w:jc w:val="center"/>
            </w:pPr>
            <w:r w:rsidRPr="008840F7">
              <w:t xml:space="preserve">Bayer </w:t>
            </w:r>
          </w:p>
        </w:tc>
      </w:tr>
      <w:tr w:rsidR="00BC5641" w:rsidRPr="00B27D39" w:rsidTr="001D131F">
        <w:tc>
          <w:tcPr>
            <w:tcW w:w="347" w:type="pct"/>
          </w:tcPr>
          <w:p w:rsidR="00BC5641" w:rsidRDefault="00BC5641" w:rsidP="00BC5641">
            <w:pPr>
              <w:pStyle w:val="RepTable"/>
            </w:pPr>
            <w:r>
              <w:t xml:space="preserve">KIIIA </w:t>
            </w:r>
          </w:p>
          <w:p w:rsidR="00BC5641" w:rsidRDefault="00BC5641" w:rsidP="00BC5641">
            <w:pPr>
              <w:pStyle w:val="RepTable"/>
            </w:pPr>
            <w:r>
              <w:t xml:space="preserve">7.1.2 /01 </w:t>
            </w:r>
          </w:p>
          <w:p w:rsidR="00BC5641" w:rsidRDefault="00BC5641" w:rsidP="00BC5641">
            <w:pPr>
              <w:pStyle w:val="RepTable"/>
            </w:pPr>
            <w:r>
              <w:t xml:space="preserve">(KCP </w:t>
            </w:r>
          </w:p>
          <w:p w:rsidR="00BC5641" w:rsidRPr="00B27D39" w:rsidRDefault="00BC5641" w:rsidP="00BC5641">
            <w:pPr>
              <w:pStyle w:val="RepTable"/>
            </w:pPr>
            <w:r>
              <w:t>7.1.2/01)</w:t>
            </w:r>
          </w:p>
        </w:tc>
        <w:tc>
          <w:tcPr>
            <w:tcW w:w="636" w:type="pct"/>
          </w:tcPr>
          <w:p w:rsidR="00BC5641" w:rsidRPr="00FF3C47" w:rsidRDefault="000F03B2" w:rsidP="00BC5641">
            <w:pPr>
              <w:pStyle w:val="RepTable"/>
              <w:rPr>
                <w:highlight w:val="black"/>
              </w:rPr>
            </w:pPr>
            <w:r w:rsidRPr="00FF3C47">
              <w:rPr>
                <w:noProof w:val="0"/>
                <w:color w:val="000000"/>
                <w:kern w:val="2"/>
                <w:highlight w:val="black"/>
                <w:lang w:val="en-IE" w:eastAsia="en-IE"/>
              </w:rPr>
              <w:t>Anon</w:t>
            </w:r>
          </w:p>
        </w:tc>
        <w:tc>
          <w:tcPr>
            <w:tcW w:w="270" w:type="pct"/>
          </w:tcPr>
          <w:p w:rsidR="00BC5641" w:rsidRPr="00FF3C47" w:rsidRDefault="00BC5641" w:rsidP="00BC5641">
            <w:pPr>
              <w:pStyle w:val="RepTable"/>
              <w:jc w:val="center"/>
              <w:rPr>
                <w:highlight w:val="black"/>
              </w:rPr>
            </w:pPr>
            <w:r w:rsidRPr="00FF3C47">
              <w:rPr>
                <w:highlight w:val="black"/>
              </w:rPr>
              <w:t>2003b</w:t>
            </w:r>
          </w:p>
        </w:tc>
        <w:tc>
          <w:tcPr>
            <w:tcW w:w="2948" w:type="pct"/>
          </w:tcPr>
          <w:p w:rsidR="00BC5641" w:rsidRDefault="00BC5641" w:rsidP="00BC5641">
            <w:pPr>
              <w:pStyle w:val="RepTable"/>
            </w:pPr>
            <w:r w:rsidRPr="00BC5641">
              <w:t>Mesosulfuron-methyl &amp; iodosulfuron-methyl-sodium &amp; mefenpyr-diethyl OD 10+2+30 (AE F115008 06 OD04 A1 - Atlantis liquid) Acute toxicity in the rat after dermal administration</w:t>
            </w:r>
          </w:p>
          <w:p w:rsidR="00BC5641" w:rsidRPr="00BC5641" w:rsidRDefault="00BC5641" w:rsidP="00BC5641">
            <w:pPr>
              <w:pStyle w:val="RepTable"/>
              <w:rPr>
                <w:lang w:val="en-IE"/>
              </w:rPr>
            </w:pPr>
            <w:r w:rsidRPr="00BC5641">
              <w:rPr>
                <w:lang w:val="en-IE"/>
              </w:rPr>
              <w:t xml:space="preserve">Report No.: AT00871. Bayer CropScience, Report No.: C038677, </w:t>
            </w:r>
          </w:p>
          <w:p w:rsidR="00BC5641" w:rsidRPr="00BC5641" w:rsidRDefault="00BC5641" w:rsidP="00BC5641">
            <w:pPr>
              <w:pStyle w:val="RepTable"/>
              <w:rPr>
                <w:lang w:val="en-IE"/>
              </w:rPr>
            </w:pPr>
            <w:r w:rsidRPr="00BC5641">
              <w:rPr>
                <w:lang w:val="en-IE"/>
              </w:rPr>
              <w:t xml:space="preserve">Date: 2003-12-12 </w:t>
            </w:r>
          </w:p>
          <w:p w:rsidR="0000722F" w:rsidRPr="0000722F" w:rsidRDefault="0000722F" w:rsidP="0000722F">
            <w:pPr>
              <w:pStyle w:val="RepTable"/>
              <w:rPr>
                <w:lang w:val="en-IE"/>
              </w:rPr>
            </w:pPr>
            <w:r w:rsidRPr="0000722F">
              <w:rPr>
                <w:lang w:val="en-IE"/>
              </w:rPr>
              <w:t>GLP/GEP: Yes</w:t>
            </w:r>
          </w:p>
          <w:p w:rsidR="00BC5641" w:rsidRPr="00B27D39" w:rsidRDefault="0000722F" w:rsidP="0000722F">
            <w:pPr>
              <w:pStyle w:val="RepTable"/>
            </w:pPr>
            <w:r w:rsidRPr="0000722F">
              <w:rPr>
                <w:lang w:val="en-IE"/>
              </w:rPr>
              <w:t>Unpublished</w:t>
            </w:r>
          </w:p>
        </w:tc>
        <w:tc>
          <w:tcPr>
            <w:tcW w:w="360" w:type="pct"/>
          </w:tcPr>
          <w:p w:rsidR="00BC5641" w:rsidRPr="00B27D39" w:rsidRDefault="00BC5641" w:rsidP="00BC5641">
            <w:pPr>
              <w:pStyle w:val="RepTable"/>
              <w:jc w:val="center"/>
            </w:pPr>
            <w:r w:rsidRPr="002E48AC">
              <w:t xml:space="preserve">Y </w:t>
            </w:r>
          </w:p>
        </w:tc>
        <w:tc>
          <w:tcPr>
            <w:tcW w:w="439" w:type="pct"/>
          </w:tcPr>
          <w:p w:rsidR="00BC5641" w:rsidRPr="00B27D39" w:rsidRDefault="00BC5641" w:rsidP="00BC5641">
            <w:pPr>
              <w:pStyle w:val="RepTable"/>
              <w:jc w:val="center"/>
            </w:pPr>
            <w:r w:rsidRPr="002E48AC">
              <w:t xml:space="preserve">Bayer </w:t>
            </w:r>
          </w:p>
        </w:tc>
      </w:tr>
      <w:tr w:rsidR="00BC5641" w:rsidRPr="00B27D39" w:rsidTr="001D131F">
        <w:tc>
          <w:tcPr>
            <w:tcW w:w="347" w:type="pct"/>
          </w:tcPr>
          <w:p w:rsidR="00BC5641" w:rsidRDefault="00BC5641" w:rsidP="00BC5641">
            <w:pPr>
              <w:pStyle w:val="RepTable"/>
            </w:pPr>
            <w:r>
              <w:t xml:space="preserve">KIIIA </w:t>
            </w:r>
          </w:p>
          <w:p w:rsidR="00BC5641" w:rsidRDefault="00BC5641" w:rsidP="00BC5641">
            <w:pPr>
              <w:pStyle w:val="RepTable"/>
            </w:pPr>
            <w:r>
              <w:t xml:space="preserve">7.1.4 /01 </w:t>
            </w:r>
          </w:p>
          <w:p w:rsidR="00BC5641" w:rsidRPr="00B27D39" w:rsidRDefault="00BC5641" w:rsidP="00BC5641">
            <w:pPr>
              <w:pStyle w:val="RepTable"/>
            </w:pPr>
            <w:r>
              <w:t xml:space="preserve">(KCP </w:t>
            </w:r>
            <w:r w:rsidRPr="00BC5641">
              <w:t>7.1.4/01)</w:t>
            </w:r>
          </w:p>
        </w:tc>
        <w:tc>
          <w:tcPr>
            <w:tcW w:w="636" w:type="pct"/>
          </w:tcPr>
          <w:p w:rsidR="00BC5641" w:rsidRPr="00FF3C47" w:rsidRDefault="000F03B2" w:rsidP="00BC5641">
            <w:pPr>
              <w:pStyle w:val="RepTable"/>
              <w:rPr>
                <w:highlight w:val="black"/>
              </w:rPr>
            </w:pPr>
            <w:r w:rsidRPr="00FF3C47">
              <w:rPr>
                <w:noProof w:val="0"/>
                <w:color w:val="000000"/>
                <w:kern w:val="2"/>
                <w:highlight w:val="black"/>
                <w:lang w:val="en-IE" w:eastAsia="en-IE"/>
              </w:rPr>
              <w:t>Anon</w:t>
            </w:r>
          </w:p>
        </w:tc>
        <w:tc>
          <w:tcPr>
            <w:tcW w:w="270" w:type="pct"/>
          </w:tcPr>
          <w:p w:rsidR="00BC5641" w:rsidRPr="00FF3C47" w:rsidRDefault="00BC5641" w:rsidP="00BC5641">
            <w:pPr>
              <w:pStyle w:val="RepTable"/>
              <w:jc w:val="center"/>
              <w:rPr>
                <w:highlight w:val="black"/>
              </w:rPr>
            </w:pPr>
            <w:r w:rsidRPr="00FF3C47">
              <w:rPr>
                <w:highlight w:val="black"/>
              </w:rPr>
              <w:t>2004a</w:t>
            </w:r>
          </w:p>
        </w:tc>
        <w:tc>
          <w:tcPr>
            <w:tcW w:w="2948" w:type="pct"/>
          </w:tcPr>
          <w:p w:rsidR="00BC5641" w:rsidRDefault="00BC5641" w:rsidP="00BC5641">
            <w:pPr>
              <w:pStyle w:val="RepTable"/>
            </w:pPr>
            <w:r w:rsidRPr="00BC5641">
              <w:t>Acute skin irritation / corrosion on rabbits Mesosulfuron-methyl &amp; iodosulfuron-methyl-sodium &amp; mefenpyr-diethyl OD 10 + 2 +30 (AE F115008 06 OD04 A1 - Atlantis Liquid) 1st revised version of report AT00973</w:t>
            </w:r>
          </w:p>
          <w:p w:rsidR="00BC5641" w:rsidRDefault="00BC5641" w:rsidP="00BC5641">
            <w:pPr>
              <w:pStyle w:val="RepTable"/>
            </w:pPr>
            <w:r>
              <w:t>Report No.: AT01349. Bayer CropSci</w:t>
            </w:r>
            <w:r w:rsidR="00A262D0">
              <w:t xml:space="preserve">ence, </w:t>
            </w:r>
            <w:r w:rsidR="00A262D0" w:rsidRPr="00A262D0">
              <w:t>Report No.: C042947</w:t>
            </w:r>
          </w:p>
          <w:p w:rsidR="00BC5641" w:rsidRDefault="00BC5641" w:rsidP="00BC5641">
            <w:pPr>
              <w:pStyle w:val="RepTable"/>
            </w:pPr>
            <w:r>
              <w:t xml:space="preserve">Date: 2004-02-05, Amended: 2004-07-21 </w:t>
            </w:r>
          </w:p>
          <w:p w:rsidR="0000722F" w:rsidRDefault="0000722F" w:rsidP="0000722F">
            <w:pPr>
              <w:pStyle w:val="RepTable"/>
            </w:pPr>
            <w:r>
              <w:t>GLP/GEP: Yes</w:t>
            </w:r>
          </w:p>
          <w:p w:rsidR="00BC5641" w:rsidRPr="00B27D39" w:rsidRDefault="0000722F" w:rsidP="0000722F">
            <w:pPr>
              <w:pStyle w:val="RepTable"/>
            </w:pPr>
            <w:r>
              <w:t>Unpublished</w:t>
            </w:r>
          </w:p>
        </w:tc>
        <w:tc>
          <w:tcPr>
            <w:tcW w:w="360" w:type="pct"/>
          </w:tcPr>
          <w:p w:rsidR="00BC5641" w:rsidRPr="00B27D39" w:rsidRDefault="00BC5641" w:rsidP="00BC5641">
            <w:pPr>
              <w:pStyle w:val="RepTable"/>
              <w:jc w:val="center"/>
            </w:pPr>
            <w:r w:rsidRPr="007D1416">
              <w:t xml:space="preserve">Y </w:t>
            </w:r>
          </w:p>
        </w:tc>
        <w:tc>
          <w:tcPr>
            <w:tcW w:w="439" w:type="pct"/>
          </w:tcPr>
          <w:p w:rsidR="00BC5641" w:rsidRPr="00B27D39" w:rsidRDefault="00BC5641" w:rsidP="00BC5641">
            <w:pPr>
              <w:pStyle w:val="RepTable"/>
              <w:jc w:val="center"/>
            </w:pPr>
            <w:r w:rsidRPr="007D1416">
              <w:t xml:space="preserve">Bayer </w:t>
            </w:r>
          </w:p>
        </w:tc>
      </w:tr>
      <w:tr w:rsidR="00A27C86" w:rsidRPr="00B27D39" w:rsidTr="001D131F">
        <w:tc>
          <w:tcPr>
            <w:tcW w:w="347" w:type="pct"/>
          </w:tcPr>
          <w:p w:rsidR="00A27C86" w:rsidRDefault="00A27C86" w:rsidP="00A27C86">
            <w:pPr>
              <w:pStyle w:val="RepTable"/>
            </w:pPr>
            <w:r w:rsidRPr="00A27C86">
              <w:t>KIIIA</w:t>
            </w:r>
          </w:p>
          <w:p w:rsidR="00A27C86" w:rsidRDefault="00A27C86" w:rsidP="00A27C86">
            <w:pPr>
              <w:pStyle w:val="RepTable"/>
            </w:pPr>
            <w:r>
              <w:t xml:space="preserve">7.1.6 /01 </w:t>
            </w:r>
          </w:p>
          <w:p w:rsidR="00A27C86" w:rsidRDefault="00A27C86" w:rsidP="00A27C86">
            <w:pPr>
              <w:pStyle w:val="RepTable"/>
            </w:pPr>
            <w:r>
              <w:t xml:space="preserve">(KCP </w:t>
            </w:r>
          </w:p>
          <w:p w:rsidR="00A27C86" w:rsidRPr="00B27D39" w:rsidRDefault="00A27C86" w:rsidP="00A27C86">
            <w:pPr>
              <w:pStyle w:val="RepTable"/>
            </w:pPr>
            <w:r>
              <w:t>7.1.6/01)</w:t>
            </w:r>
          </w:p>
        </w:tc>
        <w:tc>
          <w:tcPr>
            <w:tcW w:w="636" w:type="pct"/>
          </w:tcPr>
          <w:p w:rsidR="00A27C86" w:rsidRPr="00FF3C47" w:rsidRDefault="000F03B2" w:rsidP="00A27C86">
            <w:pPr>
              <w:pStyle w:val="RepTable"/>
              <w:rPr>
                <w:highlight w:val="black"/>
              </w:rPr>
            </w:pPr>
            <w:r w:rsidRPr="00FF3C47">
              <w:rPr>
                <w:noProof w:val="0"/>
                <w:color w:val="000000"/>
                <w:kern w:val="2"/>
                <w:highlight w:val="black"/>
                <w:lang w:val="en-IE" w:eastAsia="en-IE"/>
              </w:rPr>
              <w:t>Anon</w:t>
            </w:r>
          </w:p>
        </w:tc>
        <w:tc>
          <w:tcPr>
            <w:tcW w:w="270" w:type="pct"/>
          </w:tcPr>
          <w:p w:rsidR="00A27C86" w:rsidRPr="00FF3C47" w:rsidRDefault="00A27C86" w:rsidP="00A27C86">
            <w:pPr>
              <w:pStyle w:val="RepTable"/>
              <w:jc w:val="center"/>
              <w:rPr>
                <w:highlight w:val="black"/>
              </w:rPr>
            </w:pPr>
            <w:r w:rsidRPr="00FF3C47">
              <w:rPr>
                <w:highlight w:val="black"/>
              </w:rPr>
              <w:t>2004</w:t>
            </w:r>
          </w:p>
        </w:tc>
        <w:tc>
          <w:tcPr>
            <w:tcW w:w="2948" w:type="pct"/>
          </w:tcPr>
          <w:p w:rsidR="00A27C86" w:rsidRDefault="00A27C86" w:rsidP="00A27C86">
            <w:pPr>
              <w:pStyle w:val="RepTable"/>
            </w:pPr>
            <w:r w:rsidRPr="00A27C86">
              <w:t>Study for the skin sensitization effect in guinea pigs (Buehler patch test) Code: AE F115008 06 OD04 A104</w:t>
            </w:r>
          </w:p>
          <w:p w:rsidR="00A27C86" w:rsidRDefault="00A27C86" w:rsidP="00A27C86">
            <w:pPr>
              <w:pStyle w:val="RepTable"/>
            </w:pPr>
            <w:r>
              <w:t xml:space="preserve">Report No.: AT00991A. Bayer CropScience, Report no.: C039780/C040677 </w:t>
            </w:r>
          </w:p>
          <w:p w:rsidR="00A27C86" w:rsidRDefault="00A27C86" w:rsidP="00A27C86">
            <w:pPr>
              <w:pStyle w:val="RepTable"/>
            </w:pPr>
            <w:r>
              <w:t xml:space="preserve">Date: Mar. 22, 2004. </w:t>
            </w:r>
          </w:p>
          <w:p w:rsidR="0000722F" w:rsidRDefault="0000722F" w:rsidP="0000722F">
            <w:pPr>
              <w:pStyle w:val="RepTable"/>
            </w:pPr>
            <w:r>
              <w:t>GLP/GEP: Yes</w:t>
            </w:r>
          </w:p>
          <w:p w:rsidR="00A27C86" w:rsidRPr="00B27D39" w:rsidRDefault="0000722F" w:rsidP="0000722F">
            <w:pPr>
              <w:pStyle w:val="RepTable"/>
            </w:pPr>
            <w:r>
              <w:t>Unpublished</w:t>
            </w:r>
          </w:p>
        </w:tc>
        <w:tc>
          <w:tcPr>
            <w:tcW w:w="360" w:type="pct"/>
          </w:tcPr>
          <w:p w:rsidR="00A27C86" w:rsidRPr="00B27D39" w:rsidRDefault="00A27C86" w:rsidP="00A27C86">
            <w:pPr>
              <w:pStyle w:val="RepTable"/>
              <w:jc w:val="center"/>
            </w:pPr>
            <w:r w:rsidRPr="00021BF8">
              <w:t xml:space="preserve">Y </w:t>
            </w:r>
          </w:p>
        </w:tc>
        <w:tc>
          <w:tcPr>
            <w:tcW w:w="439" w:type="pct"/>
          </w:tcPr>
          <w:p w:rsidR="00A27C86" w:rsidRPr="00B27D39" w:rsidRDefault="00A27C86" w:rsidP="00A27C86">
            <w:pPr>
              <w:pStyle w:val="RepTable"/>
              <w:jc w:val="center"/>
            </w:pPr>
            <w:r w:rsidRPr="00021BF8">
              <w:t xml:space="preserve">Bayer </w:t>
            </w:r>
          </w:p>
        </w:tc>
      </w:tr>
    </w:tbl>
    <w:p w:rsidR="00B10DBB" w:rsidRPr="00B27D39" w:rsidRDefault="00B10DBB" w:rsidP="00F9783D">
      <w:pPr>
        <w:pStyle w:val="RepStandard"/>
      </w:pPr>
    </w:p>
    <w:p w:rsidR="00F9783D" w:rsidRPr="00B27D39" w:rsidRDefault="00F9783D" w:rsidP="00F9783D">
      <w:pPr>
        <w:pStyle w:val="RepEditorNotesMS"/>
      </w:pPr>
      <w:r w:rsidRPr="00B27D39">
        <w:t>The following tables are to be completed by MS</w:t>
      </w:r>
    </w:p>
    <w:p w:rsidR="00F9783D" w:rsidRPr="00B27D39" w:rsidRDefault="00F9783D" w:rsidP="00F9783D">
      <w:pPr>
        <w:pStyle w:val="RepNewPart"/>
      </w:pPr>
      <w:r w:rsidRPr="00B27D39">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022"/>
        <w:gridCol w:w="1868"/>
        <w:gridCol w:w="793"/>
        <w:gridCol w:w="8661"/>
        <w:gridCol w:w="1048"/>
        <w:gridCol w:w="1292"/>
      </w:tblGrid>
      <w:tr w:rsidR="00F9783D" w:rsidRPr="00B27D39" w:rsidTr="00E0107B">
        <w:trPr>
          <w:tblHeader/>
        </w:trPr>
        <w:tc>
          <w:tcPr>
            <w:tcW w:w="348" w:type="pct"/>
            <w:vAlign w:val="center"/>
          </w:tcPr>
          <w:p w:rsidR="00F9783D" w:rsidRPr="00B27D39" w:rsidRDefault="00F9783D" w:rsidP="00E0107B">
            <w:pPr>
              <w:pStyle w:val="RepTableHeader"/>
              <w:jc w:val="center"/>
              <w:rPr>
                <w:lang w:val="en-GB"/>
              </w:rPr>
            </w:pPr>
            <w:r w:rsidRPr="00B27D39">
              <w:rPr>
                <w:lang w:val="en-GB"/>
              </w:rPr>
              <w:t>Data point</w:t>
            </w:r>
          </w:p>
        </w:tc>
        <w:tc>
          <w:tcPr>
            <w:tcW w:w="636" w:type="pct"/>
            <w:vAlign w:val="center"/>
          </w:tcPr>
          <w:p w:rsidR="00F9783D" w:rsidRPr="00B27D39" w:rsidRDefault="00F9783D" w:rsidP="00E0107B">
            <w:pPr>
              <w:pStyle w:val="RepTableHeader"/>
              <w:jc w:val="center"/>
              <w:rPr>
                <w:lang w:val="en-GB"/>
              </w:rPr>
            </w:pPr>
            <w:r w:rsidRPr="00B27D39">
              <w:rPr>
                <w:lang w:val="en-GB"/>
              </w:rPr>
              <w:t>Author(s)</w:t>
            </w:r>
          </w:p>
        </w:tc>
        <w:tc>
          <w:tcPr>
            <w:tcW w:w="270" w:type="pct"/>
            <w:vAlign w:val="center"/>
          </w:tcPr>
          <w:p w:rsidR="00F9783D" w:rsidRPr="00B27D39" w:rsidRDefault="00F9783D" w:rsidP="00E0107B">
            <w:pPr>
              <w:pStyle w:val="RepTableHeader"/>
              <w:jc w:val="center"/>
              <w:rPr>
                <w:lang w:val="en-GB"/>
              </w:rPr>
            </w:pPr>
            <w:r w:rsidRPr="00B27D39">
              <w:rPr>
                <w:lang w:val="en-GB"/>
              </w:rPr>
              <w:t>Year</w:t>
            </w:r>
          </w:p>
        </w:tc>
        <w:tc>
          <w:tcPr>
            <w:tcW w:w="2949" w:type="pct"/>
            <w:vAlign w:val="center"/>
          </w:tcPr>
          <w:p w:rsidR="00F9783D" w:rsidRPr="00B27D39" w:rsidRDefault="00F9783D" w:rsidP="00E0107B">
            <w:pPr>
              <w:pStyle w:val="RepTableHeader"/>
              <w:rPr>
                <w:lang w:val="en-GB"/>
              </w:rPr>
            </w:pPr>
            <w:r w:rsidRPr="00B27D39">
              <w:rPr>
                <w:lang w:val="en-GB"/>
              </w:rPr>
              <w:t>Title</w:t>
            </w:r>
            <w:r w:rsidRPr="00B27D39">
              <w:rPr>
                <w:lang w:val="en-GB"/>
              </w:rPr>
              <w:br/>
              <w:t>Company Report No.</w:t>
            </w:r>
            <w:r w:rsidRPr="00B27D39">
              <w:rPr>
                <w:lang w:val="en-GB"/>
              </w:rPr>
              <w:tab/>
            </w:r>
            <w:r w:rsidRPr="00B27D39">
              <w:rPr>
                <w:lang w:val="en-GB"/>
              </w:rPr>
              <w:br/>
              <w:t>Source (where different from company)</w:t>
            </w:r>
            <w:r w:rsidRPr="00B27D39">
              <w:rPr>
                <w:lang w:val="en-GB"/>
              </w:rPr>
              <w:br/>
              <w:t>GLP or GEP status</w:t>
            </w:r>
            <w:r w:rsidRPr="00B27D39">
              <w:rPr>
                <w:lang w:val="en-GB"/>
              </w:rPr>
              <w:br/>
              <w:t>Published or not</w:t>
            </w:r>
          </w:p>
        </w:tc>
        <w:tc>
          <w:tcPr>
            <w:tcW w:w="357" w:type="pct"/>
            <w:vAlign w:val="center"/>
          </w:tcPr>
          <w:p w:rsidR="00F9783D" w:rsidRPr="00B27D39" w:rsidRDefault="00F9783D" w:rsidP="00E0107B">
            <w:pPr>
              <w:pStyle w:val="RepTableHeader"/>
              <w:jc w:val="center"/>
              <w:rPr>
                <w:lang w:val="en-GB"/>
              </w:rPr>
            </w:pPr>
            <w:r w:rsidRPr="00B27D39">
              <w:rPr>
                <w:lang w:val="en-GB"/>
              </w:rPr>
              <w:t>Vertebrate study</w:t>
            </w:r>
          </w:p>
          <w:p w:rsidR="00F9783D" w:rsidRPr="00B27D39" w:rsidRDefault="00F9783D" w:rsidP="00E0107B">
            <w:pPr>
              <w:pStyle w:val="RepTableHeader"/>
              <w:jc w:val="center"/>
              <w:rPr>
                <w:lang w:val="en-GB"/>
              </w:rPr>
            </w:pPr>
            <w:r w:rsidRPr="00B27D39">
              <w:rPr>
                <w:lang w:val="en-GB"/>
              </w:rPr>
              <w:t>Y/N</w:t>
            </w:r>
          </w:p>
        </w:tc>
        <w:tc>
          <w:tcPr>
            <w:tcW w:w="440" w:type="pct"/>
            <w:vAlign w:val="center"/>
          </w:tcPr>
          <w:p w:rsidR="00F9783D" w:rsidRPr="00B27D39" w:rsidRDefault="00F9783D" w:rsidP="00E0107B">
            <w:pPr>
              <w:pStyle w:val="RepTableHeader"/>
              <w:jc w:val="center"/>
              <w:rPr>
                <w:lang w:val="en-GB"/>
              </w:rPr>
            </w:pPr>
            <w:r w:rsidRPr="00B27D39">
              <w:rPr>
                <w:lang w:val="en-GB"/>
              </w:rPr>
              <w:t>Owner</w:t>
            </w:r>
          </w:p>
        </w:tc>
      </w:tr>
      <w:tr w:rsidR="00F9783D" w:rsidRPr="00B32849" w:rsidTr="00E0107B">
        <w:tc>
          <w:tcPr>
            <w:tcW w:w="348" w:type="pct"/>
          </w:tcPr>
          <w:p w:rsidR="00F9783D" w:rsidRPr="00B27D39" w:rsidRDefault="00F9783D" w:rsidP="00E0107B">
            <w:pPr>
              <w:pStyle w:val="RepTable"/>
            </w:pPr>
            <w:r w:rsidRPr="00B27D39">
              <w:t>KCP XX</w:t>
            </w:r>
          </w:p>
        </w:tc>
        <w:tc>
          <w:tcPr>
            <w:tcW w:w="636" w:type="pct"/>
          </w:tcPr>
          <w:p w:rsidR="00F9783D" w:rsidRPr="00B27D39" w:rsidRDefault="00F9783D" w:rsidP="00E0107B">
            <w:pPr>
              <w:pStyle w:val="RepTable"/>
            </w:pPr>
            <w:r w:rsidRPr="00B27D39">
              <w:t>Author</w:t>
            </w:r>
          </w:p>
        </w:tc>
        <w:tc>
          <w:tcPr>
            <w:tcW w:w="270" w:type="pct"/>
          </w:tcPr>
          <w:p w:rsidR="00F9783D" w:rsidRPr="00B27D39" w:rsidRDefault="00F9783D" w:rsidP="00E0107B">
            <w:pPr>
              <w:pStyle w:val="RepTable"/>
              <w:jc w:val="center"/>
            </w:pPr>
            <w:r w:rsidRPr="00B27D39">
              <w:t>YYYY</w:t>
            </w:r>
          </w:p>
        </w:tc>
        <w:tc>
          <w:tcPr>
            <w:tcW w:w="2949" w:type="pct"/>
          </w:tcPr>
          <w:p w:rsidR="00F9783D" w:rsidRPr="00B27D39" w:rsidRDefault="00F9783D" w:rsidP="00E0107B">
            <w:pPr>
              <w:pStyle w:val="RepTable"/>
            </w:pPr>
            <w:r w:rsidRPr="00B27D39">
              <w:t>Title</w:t>
            </w:r>
          </w:p>
          <w:p w:rsidR="00F9783D" w:rsidRPr="00B27D39" w:rsidRDefault="00F9783D" w:rsidP="00E0107B">
            <w:pPr>
              <w:pStyle w:val="RepTable"/>
            </w:pPr>
            <w:r w:rsidRPr="00B27D39">
              <w:t>Company Report N</w:t>
            </w:r>
          </w:p>
          <w:p w:rsidR="00F9783D" w:rsidRPr="00B27D39" w:rsidRDefault="00F9783D" w:rsidP="00E0107B">
            <w:pPr>
              <w:pStyle w:val="RepTable"/>
            </w:pPr>
            <w:r w:rsidRPr="00B27D39">
              <w:t>Source</w:t>
            </w:r>
          </w:p>
          <w:p w:rsidR="00F9783D" w:rsidRPr="00B27D39" w:rsidRDefault="00F9783D" w:rsidP="00E0107B">
            <w:pPr>
              <w:pStyle w:val="RepTable"/>
            </w:pPr>
            <w:r w:rsidRPr="00B27D39">
              <w:t>GLP/non GLP/GEP/non GEP</w:t>
            </w:r>
          </w:p>
          <w:p w:rsidR="00F9783D" w:rsidRPr="00B27D39" w:rsidRDefault="00F9783D" w:rsidP="00E0107B">
            <w:pPr>
              <w:pStyle w:val="RepTable"/>
            </w:pPr>
            <w:r w:rsidRPr="00B27D39">
              <w:t>Published/Unpublished</w:t>
            </w:r>
          </w:p>
        </w:tc>
        <w:tc>
          <w:tcPr>
            <w:tcW w:w="357" w:type="pct"/>
          </w:tcPr>
          <w:p w:rsidR="00F9783D" w:rsidRPr="00B27D39" w:rsidRDefault="00F9783D" w:rsidP="00E0107B">
            <w:pPr>
              <w:pStyle w:val="RepTable"/>
              <w:jc w:val="center"/>
            </w:pPr>
            <w:r w:rsidRPr="00B27D39">
              <w:t>Y/N</w:t>
            </w:r>
          </w:p>
        </w:tc>
        <w:tc>
          <w:tcPr>
            <w:tcW w:w="440" w:type="pct"/>
          </w:tcPr>
          <w:p w:rsidR="00F9783D" w:rsidRPr="00B27D39" w:rsidRDefault="00F9783D" w:rsidP="00E0107B">
            <w:pPr>
              <w:pStyle w:val="RepTable"/>
              <w:jc w:val="center"/>
            </w:pPr>
            <w:r w:rsidRPr="00B27D39">
              <w:t>Owner</w:t>
            </w:r>
          </w:p>
        </w:tc>
      </w:tr>
      <w:tr w:rsidR="00F9783D" w:rsidRPr="00B32849" w:rsidTr="00E0107B">
        <w:tc>
          <w:tcPr>
            <w:tcW w:w="348" w:type="pct"/>
          </w:tcPr>
          <w:p w:rsidR="00F9783D" w:rsidRPr="00B32849" w:rsidRDefault="00F9783D" w:rsidP="00E0107B">
            <w:pPr>
              <w:pStyle w:val="RepTable"/>
              <w:rPr>
                <w:highlight w:val="yellow"/>
              </w:rPr>
            </w:pPr>
          </w:p>
        </w:tc>
        <w:tc>
          <w:tcPr>
            <w:tcW w:w="636" w:type="pct"/>
          </w:tcPr>
          <w:p w:rsidR="00F9783D" w:rsidRPr="00B32849" w:rsidRDefault="00F9783D" w:rsidP="00E0107B">
            <w:pPr>
              <w:pStyle w:val="RepTable"/>
              <w:rPr>
                <w:highlight w:val="yellow"/>
              </w:rPr>
            </w:pPr>
          </w:p>
        </w:tc>
        <w:tc>
          <w:tcPr>
            <w:tcW w:w="270" w:type="pct"/>
          </w:tcPr>
          <w:p w:rsidR="00F9783D" w:rsidRPr="00B32849" w:rsidRDefault="00F9783D" w:rsidP="00E0107B">
            <w:pPr>
              <w:pStyle w:val="RepTable"/>
              <w:jc w:val="center"/>
              <w:rPr>
                <w:highlight w:val="yellow"/>
              </w:rPr>
            </w:pPr>
          </w:p>
        </w:tc>
        <w:tc>
          <w:tcPr>
            <w:tcW w:w="2949" w:type="pct"/>
          </w:tcPr>
          <w:p w:rsidR="00F9783D" w:rsidRPr="00B32849" w:rsidRDefault="00F9783D" w:rsidP="00E0107B">
            <w:pPr>
              <w:pStyle w:val="RepTable"/>
              <w:rPr>
                <w:highlight w:val="yellow"/>
              </w:rPr>
            </w:pPr>
          </w:p>
        </w:tc>
        <w:tc>
          <w:tcPr>
            <w:tcW w:w="357" w:type="pct"/>
          </w:tcPr>
          <w:p w:rsidR="00F9783D" w:rsidRPr="00B32849" w:rsidRDefault="00F9783D" w:rsidP="00E0107B">
            <w:pPr>
              <w:pStyle w:val="RepTable"/>
              <w:jc w:val="center"/>
              <w:rPr>
                <w:highlight w:val="yellow"/>
              </w:rPr>
            </w:pPr>
          </w:p>
        </w:tc>
        <w:tc>
          <w:tcPr>
            <w:tcW w:w="440" w:type="pct"/>
          </w:tcPr>
          <w:p w:rsidR="00F9783D" w:rsidRPr="00B32849" w:rsidRDefault="00F9783D" w:rsidP="00E0107B">
            <w:pPr>
              <w:pStyle w:val="RepTable"/>
              <w:jc w:val="center"/>
              <w:rPr>
                <w:highlight w:val="yellow"/>
              </w:rPr>
            </w:pPr>
          </w:p>
        </w:tc>
      </w:tr>
    </w:tbl>
    <w:p w:rsidR="00F9783D" w:rsidRPr="00B32849" w:rsidRDefault="00F9783D" w:rsidP="00F87689">
      <w:pPr>
        <w:pStyle w:val="OECD-BASIS-TEXT"/>
      </w:pPr>
    </w:p>
    <w:p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278"/>
        <w:gridCol w:w="1815"/>
        <w:gridCol w:w="740"/>
        <w:gridCol w:w="8608"/>
        <w:gridCol w:w="1057"/>
        <w:gridCol w:w="1186"/>
      </w:tblGrid>
      <w:tr w:rsidR="00F9783D" w:rsidRPr="00B32849" w:rsidTr="009F798F">
        <w:trPr>
          <w:tblHeader/>
        </w:trPr>
        <w:tc>
          <w:tcPr>
            <w:tcW w:w="435" w:type="pct"/>
            <w:vAlign w:val="center"/>
          </w:tcPr>
          <w:p w:rsidR="00F9783D" w:rsidRPr="00B32849" w:rsidRDefault="00F9783D" w:rsidP="00E0107B">
            <w:pPr>
              <w:pStyle w:val="RepTableHeader"/>
              <w:jc w:val="center"/>
              <w:rPr>
                <w:lang w:val="en-GB"/>
              </w:rPr>
            </w:pPr>
            <w:r w:rsidRPr="00B32849">
              <w:rPr>
                <w:lang w:val="en-GB"/>
              </w:rPr>
              <w:t>Data point</w:t>
            </w:r>
          </w:p>
        </w:tc>
        <w:tc>
          <w:tcPr>
            <w:tcW w:w="618" w:type="pct"/>
            <w:vAlign w:val="center"/>
          </w:tcPr>
          <w:p w:rsidR="00F9783D" w:rsidRPr="00B32849" w:rsidRDefault="00F9783D" w:rsidP="00E0107B">
            <w:pPr>
              <w:pStyle w:val="RepTableHeader"/>
              <w:jc w:val="center"/>
              <w:rPr>
                <w:lang w:val="en-GB"/>
              </w:rPr>
            </w:pPr>
            <w:r w:rsidRPr="00B32849">
              <w:rPr>
                <w:lang w:val="en-GB"/>
              </w:rPr>
              <w:t>Author(s)</w:t>
            </w:r>
          </w:p>
        </w:tc>
        <w:tc>
          <w:tcPr>
            <w:tcW w:w="252" w:type="pct"/>
            <w:vAlign w:val="center"/>
          </w:tcPr>
          <w:p w:rsidR="00F9783D" w:rsidRPr="00B32849" w:rsidRDefault="00F9783D" w:rsidP="00E0107B">
            <w:pPr>
              <w:pStyle w:val="RepTableHeader"/>
              <w:jc w:val="center"/>
              <w:rPr>
                <w:lang w:val="en-GB"/>
              </w:rPr>
            </w:pPr>
            <w:r w:rsidRPr="00B32849">
              <w:rPr>
                <w:lang w:val="en-GB"/>
              </w:rPr>
              <w:t>Year</w:t>
            </w:r>
          </w:p>
        </w:tc>
        <w:tc>
          <w:tcPr>
            <w:tcW w:w="2931" w:type="pct"/>
            <w:vAlign w:val="center"/>
          </w:tcPr>
          <w:p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60" w:type="pct"/>
            <w:vAlign w:val="center"/>
          </w:tcPr>
          <w:p w:rsidR="00F9783D" w:rsidRPr="00B32849" w:rsidRDefault="00F9783D" w:rsidP="00E0107B">
            <w:pPr>
              <w:pStyle w:val="RepTableHeader"/>
              <w:jc w:val="center"/>
              <w:rPr>
                <w:lang w:val="en-GB"/>
              </w:rPr>
            </w:pPr>
            <w:r w:rsidRPr="00B32849">
              <w:rPr>
                <w:lang w:val="en-GB"/>
              </w:rPr>
              <w:t>Vertebrate study</w:t>
            </w:r>
          </w:p>
          <w:p w:rsidR="00F9783D" w:rsidRPr="00B32849" w:rsidRDefault="00F9783D" w:rsidP="00E0107B">
            <w:pPr>
              <w:pStyle w:val="RepTableHeader"/>
              <w:jc w:val="center"/>
              <w:rPr>
                <w:lang w:val="en-GB"/>
              </w:rPr>
            </w:pPr>
            <w:r w:rsidRPr="00B32849">
              <w:rPr>
                <w:lang w:val="en-GB"/>
              </w:rPr>
              <w:t>Y/N</w:t>
            </w:r>
          </w:p>
        </w:tc>
        <w:tc>
          <w:tcPr>
            <w:tcW w:w="404" w:type="pct"/>
            <w:vAlign w:val="center"/>
          </w:tcPr>
          <w:p w:rsidR="00F9783D" w:rsidRPr="00B32849" w:rsidRDefault="00F9783D" w:rsidP="00E0107B">
            <w:pPr>
              <w:pStyle w:val="RepTableHeader"/>
              <w:jc w:val="center"/>
              <w:rPr>
                <w:lang w:val="en-GB"/>
              </w:rPr>
            </w:pPr>
            <w:r w:rsidRPr="00B32849">
              <w:rPr>
                <w:lang w:val="en-GB"/>
              </w:rPr>
              <w:t>Owner</w:t>
            </w:r>
          </w:p>
        </w:tc>
      </w:tr>
      <w:tr w:rsidR="00CD5080" w:rsidRPr="00B32849" w:rsidTr="009F798F">
        <w:tc>
          <w:tcPr>
            <w:tcW w:w="435" w:type="pct"/>
          </w:tcPr>
          <w:p w:rsidR="00CD5080" w:rsidRPr="00B32849" w:rsidRDefault="00CD5080" w:rsidP="00CD5080">
            <w:pPr>
              <w:pStyle w:val="RepTable"/>
              <w:rPr>
                <w:highlight w:val="yellow"/>
              </w:rPr>
            </w:pPr>
          </w:p>
        </w:tc>
        <w:tc>
          <w:tcPr>
            <w:tcW w:w="618" w:type="pct"/>
          </w:tcPr>
          <w:p w:rsidR="00CD5080" w:rsidRPr="00B32849" w:rsidRDefault="00CD5080" w:rsidP="00CD5080">
            <w:pPr>
              <w:pStyle w:val="RepTable"/>
              <w:rPr>
                <w:highlight w:val="yellow"/>
              </w:rPr>
            </w:pPr>
          </w:p>
        </w:tc>
        <w:tc>
          <w:tcPr>
            <w:tcW w:w="252" w:type="pct"/>
          </w:tcPr>
          <w:p w:rsidR="00CD5080" w:rsidRPr="005408DE" w:rsidRDefault="00CD5080" w:rsidP="00CD5080">
            <w:pPr>
              <w:pStyle w:val="RepTable"/>
              <w:jc w:val="center"/>
            </w:pPr>
          </w:p>
        </w:tc>
        <w:tc>
          <w:tcPr>
            <w:tcW w:w="2931" w:type="pct"/>
          </w:tcPr>
          <w:p w:rsidR="00CD5080" w:rsidRPr="005408DE" w:rsidRDefault="00CD5080" w:rsidP="00CD5080">
            <w:pPr>
              <w:pStyle w:val="RepTable"/>
            </w:pPr>
          </w:p>
        </w:tc>
        <w:tc>
          <w:tcPr>
            <w:tcW w:w="360" w:type="pct"/>
          </w:tcPr>
          <w:p w:rsidR="00CD5080" w:rsidRPr="009F798F" w:rsidRDefault="00CD5080" w:rsidP="00CD5080">
            <w:pPr>
              <w:pStyle w:val="RepTable"/>
              <w:jc w:val="center"/>
            </w:pPr>
          </w:p>
        </w:tc>
        <w:tc>
          <w:tcPr>
            <w:tcW w:w="404" w:type="pct"/>
          </w:tcPr>
          <w:p w:rsidR="00CD5080" w:rsidRPr="009F798F" w:rsidRDefault="00CD5080" w:rsidP="00CD5080">
            <w:pPr>
              <w:pStyle w:val="RepTable"/>
              <w:jc w:val="center"/>
            </w:pPr>
          </w:p>
        </w:tc>
      </w:tr>
    </w:tbl>
    <w:p w:rsidR="00F9783D" w:rsidRPr="00B32849" w:rsidRDefault="00F9783D" w:rsidP="00F9783D">
      <w:pPr>
        <w:pStyle w:val="RepStandard"/>
        <w:sectPr w:rsidR="00F9783D" w:rsidRPr="00B32849" w:rsidSect="001B7AAD">
          <w:headerReference w:type="default" r:id="rId14"/>
          <w:pgSz w:w="16838" w:h="11906" w:orient="landscape"/>
          <w:pgMar w:top="1417" w:right="1134" w:bottom="1134" w:left="1134" w:header="709" w:footer="142" w:gutter="0"/>
          <w:pgNumType w:chapSep="period"/>
          <w:cols w:space="720"/>
          <w:docGrid w:linePitch="360"/>
        </w:sectPr>
      </w:pPr>
    </w:p>
    <w:p w:rsidR="00217B1C" w:rsidRPr="00117876" w:rsidRDefault="00217B1C" w:rsidP="00217B1C">
      <w:pPr>
        <w:pStyle w:val="RepAppendix1"/>
      </w:pPr>
      <w:bookmarkStart w:id="562" w:name="_Toc300147933"/>
      <w:bookmarkStart w:id="563" w:name="_Toc304462627"/>
      <w:bookmarkStart w:id="564" w:name="_Toc314067812"/>
      <w:bookmarkStart w:id="565" w:name="_Toc314122102"/>
      <w:bookmarkStart w:id="566" w:name="_Toc314129281"/>
      <w:bookmarkStart w:id="567" w:name="_Toc314142400"/>
      <w:bookmarkStart w:id="568" w:name="_Toc314557407"/>
      <w:bookmarkStart w:id="569" w:name="_Toc314557665"/>
      <w:bookmarkStart w:id="570" w:name="_Toc328552264"/>
      <w:bookmarkStart w:id="571" w:name="_Toc332020613"/>
      <w:bookmarkStart w:id="572" w:name="_Toc332203457"/>
      <w:bookmarkStart w:id="573" w:name="_Toc332207009"/>
      <w:bookmarkStart w:id="574" w:name="_Toc332296177"/>
      <w:bookmarkStart w:id="575" w:name="_Toc336434744"/>
      <w:bookmarkStart w:id="576" w:name="_Toc397516896"/>
      <w:bookmarkStart w:id="577" w:name="_Toc398627876"/>
      <w:bookmarkStart w:id="578" w:name="_Toc399335731"/>
      <w:bookmarkStart w:id="579" w:name="_Toc399764872"/>
      <w:bookmarkStart w:id="580" w:name="_Toc412562663"/>
      <w:bookmarkStart w:id="581" w:name="_Toc412562740"/>
      <w:bookmarkStart w:id="582" w:name="_Toc413662732"/>
      <w:bookmarkStart w:id="583" w:name="_Toc413673590"/>
      <w:bookmarkStart w:id="584" w:name="_Toc413673688"/>
      <w:bookmarkStart w:id="585" w:name="_Toc413673759"/>
      <w:bookmarkStart w:id="586" w:name="_Toc413928658"/>
      <w:bookmarkStart w:id="587" w:name="_Toc413936272"/>
      <w:bookmarkStart w:id="588" w:name="_Toc413937983"/>
      <w:bookmarkStart w:id="589" w:name="_Toc414026710"/>
      <w:bookmarkStart w:id="590" w:name="_Ref414447855"/>
      <w:bookmarkStart w:id="591" w:name="_Ref414449074"/>
      <w:bookmarkStart w:id="592" w:name="_Toc414974089"/>
      <w:bookmarkStart w:id="593" w:name="_Toc450900963"/>
      <w:bookmarkStart w:id="594" w:name="_Toc450920629"/>
      <w:bookmarkStart w:id="595" w:name="_Toc450923750"/>
      <w:bookmarkStart w:id="596" w:name="_Toc454460983"/>
      <w:bookmarkStart w:id="597" w:name="_Toc454462819"/>
      <w:bookmarkStart w:id="598" w:name="_Toc179811310"/>
      <w:r w:rsidRPr="00117876">
        <w:lastRenderedPageBreak/>
        <w:t>Detailed evaluation of the studies relied upon</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64229B" w:rsidRPr="00117876" w:rsidRDefault="00C81348" w:rsidP="0064229B">
      <w:pPr>
        <w:pStyle w:val="RepAppendix2"/>
      </w:pPr>
      <w:bookmarkStart w:id="599" w:name="_Toc328552283"/>
      <w:bookmarkStart w:id="600" w:name="_Toc332020632"/>
      <w:bookmarkStart w:id="601" w:name="_Toc332203476"/>
      <w:bookmarkStart w:id="602" w:name="_Toc332207010"/>
      <w:bookmarkStart w:id="603" w:name="_Toc332296178"/>
      <w:bookmarkStart w:id="604" w:name="_Toc336434745"/>
      <w:bookmarkStart w:id="605" w:name="_Toc397516897"/>
      <w:bookmarkStart w:id="606" w:name="_Toc398627877"/>
      <w:bookmarkStart w:id="607" w:name="_Toc399335732"/>
      <w:bookmarkStart w:id="608" w:name="_Toc399764873"/>
      <w:bookmarkStart w:id="609" w:name="_Toc412562664"/>
      <w:bookmarkStart w:id="610" w:name="_Toc412562741"/>
      <w:bookmarkStart w:id="611" w:name="_Toc413662733"/>
      <w:bookmarkStart w:id="612" w:name="_Toc413673591"/>
      <w:bookmarkStart w:id="613" w:name="_Toc413673689"/>
      <w:bookmarkStart w:id="614" w:name="_Toc413673760"/>
      <w:bookmarkStart w:id="615" w:name="_Toc413928659"/>
      <w:bookmarkStart w:id="616" w:name="_Toc413936273"/>
      <w:bookmarkStart w:id="617" w:name="_Toc413937984"/>
      <w:bookmarkStart w:id="618" w:name="_Toc414026711"/>
      <w:bookmarkStart w:id="619" w:name="_Toc414974090"/>
      <w:bookmarkStart w:id="620" w:name="_Toc450900964"/>
      <w:bookmarkStart w:id="621" w:name="_Toc450920630"/>
      <w:bookmarkStart w:id="622" w:name="_Toc450923751"/>
      <w:bookmarkStart w:id="623" w:name="_Toc454460984"/>
      <w:bookmarkStart w:id="624" w:name="_Toc454462820"/>
      <w:bookmarkStart w:id="625" w:name="_Toc179811311"/>
      <w:bookmarkStart w:id="626" w:name="_Toc111951384"/>
      <w:bookmarkStart w:id="627" w:name="_Toc240611792"/>
      <w:bookmarkStart w:id="628" w:name="_Toc300147934"/>
      <w:bookmarkStart w:id="629" w:name="_Toc304462628"/>
      <w:bookmarkStart w:id="630" w:name="_Toc314067813"/>
      <w:bookmarkStart w:id="631" w:name="_Toc314122103"/>
      <w:bookmarkStart w:id="632" w:name="_Toc314129282"/>
      <w:bookmarkStart w:id="633" w:name="_Ref314138446"/>
      <w:bookmarkStart w:id="634" w:name="_Toc314142401"/>
      <w:bookmarkStart w:id="635" w:name="_Toc314557408"/>
      <w:bookmarkStart w:id="636" w:name="_Toc314557666"/>
      <w:bookmarkStart w:id="637" w:name="_Toc328552265"/>
      <w:bookmarkStart w:id="638" w:name="_Toc332020614"/>
      <w:bookmarkStart w:id="639" w:name="_Toc332203458"/>
      <w:r w:rsidRPr="00117876">
        <w:t>Statement on bridging possibilities</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1E050D" w:rsidRPr="00117876" w:rsidRDefault="0064229B" w:rsidP="0064229B">
      <w:pPr>
        <w:pStyle w:val="RepStandard"/>
      </w:pPr>
      <w:bookmarkStart w:id="640" w:name="_Hlk121823483"/>
      <w:r w:rsidRPr="00117876">
        <w:t>Please refer to</w:t>
      </w:r>
      <w:r w:rsidR="00D80E54" w:rsidRPr="00117876">
        <w:t xml:space="preserve"> Part B6 </w:t>
      </w:r>
      <w:r w:rsidRPr="00117876">
        <w:t>Section A 2.1 ‘Statement on bridging possibilities’ of the Atlantis 12 OD re-registration report submitted by Bayer AG.</w:t>
      </w:r>
    </w:p>
    <w:bookmarkEnd w:id="640"/>
    <w:p w:rsidR="0064229B" w:rsidRPr="00117876" w:rsidRDefault="0064229B" w:rsidP="0064229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217B1C" w:rsidRPr="00117876" w:rsidTr="00217B1C">
        <w:tc>
          <w:tcPr>
            <w:tcW w:w="1094" w:type="pct"/>
            <w:shd w:val="clear" w:color="auto" w:fill="B3B3B3"/>
          </w:tcPr>
          <w:p w:rsidR="00217B1C" w:rsidRPr="00117876" w:rsidRDefault="00217B1C" w:rsidP="00217B1C">
            <w:pPr>
              <w:pStyle w:val="RepStandard"/>
              <w:rPr>
                <w:rFonts w:eastAsia="Batang"/>
              </w:rPr>
            </w:pPr>
            <w:r w:rsidRPr="00117876">
              <w:t>Comments of zRMS:</w:t>
            </w:r>
          </w:p>
        </w:tc>
        <w:tc>
          <w:tcPr>
            <w:tcW w:w="3906" w:type="pct"/>
            <w:shd w:val="clear" w:color="auto" w:fill="B3B3B3"/>
          </w:tcPr>
          <w:p w:rsidR="00217B1C" w:rsidRPr="00117876" w:rsidRDefault="00CB1105" w:rsidP="008E0ED5">
            <w:pPr>
              <w:pStyle w:val="RepStandard"/>
              <w:rPr>
                <w:rFonts w:eastAsia="Batang"/>
              </w:rPr>
            </w:pPr>
            <w:r>
              <w:rPr>
                <w:szCs w:val="20"/>
              </w:rPr>
              <w:t>N/A</w:t>
            </w:r>
            <w:r w:rsidR="00217B1C" w:rsidRPr="00117876">
              <w:rPr>
                <w:szCs w:val="20"/>
              </w:rPr>
              <w:t xml:space="preserve"> </w:t>
            </w:r>
          </w:p>
        </w:tc>
      </w:tr>
    </w:tbl>
    <w:p w:rsidR="00217B1C" w:rsidRPr="00117876" w:rsidRDefault="00C81348" w:rsidP="00217B1C">
      <w:pPr>
        <w:pStyle w:val="RepAppendix2"/>
      </w:pPr>
      <w:bookmarkStart w:id="641" w:name="_Toc332207011"/>
      <w:bookmarkStart w:id="642" w:name="_Toc332296179"/>
      <w:bookmarkStart w:id="643" w:name="_Toc336434746"/>
      <w:bookmarkStart w:id="644" w:name="_Toc397516898"/>
      <w:bookmarkStart w:id="645" w:name="_Toc398627878"/>
      <w:bookmarkStart w:id="646" w:name="_Toc399335733"/>
      <w:bookmarkStart w:id="647" w:name="_Toc399764874"/>
      <w:bookmarkStart w:id="648" w:name="_Toc412562665"/>
      <w:bookmarkStart w:id="649" w:name="_Toc412562742"/>
      <w:bookmarkStart w:id="650" w:name="_Toc413662734"/>
      <w:bookmarkStart w:id="651" w:name="_Toc413673592"/>
      <w:bookmarkStart w:id="652" w:name="_Toc413673690"/>
      <w:bookmarkStart w:id="653" w:name="_Toc413673761"/>
      <w:bookmarkStart w:id="654" w:name="_Toc413928660"/>
      <w:bookmarkStart w:id="655" w:name="_Toc413936274"/>
      <w:bookmarkStart w:id="656" w:name="_Toc413937985"/>
      <w:bookmarkStart w:id="657" w:name="_Toc414026712"/>
      <w:bookmarkStart w:id="658" w:name="_Toc414974091"/>
      <w:bookmarkStart w:id="659" w:name="_Toc450900965"/>
      <w:bookmarkStart w:id="660" w:name="_Toc450920631"/>
      <w:bookmarkStart w:id="661" w:name="_Toc450923752"/>
      <w:bookmarkStart w:id="662" w:name="_Toc454460985"/>
      <w:bookmarkStart w:id="663" w:name="_Toc454462821"/>
      <w:bookmarkStart w:id="664" w:name="_Toc179811312"/>
      <w:r w:rsidRPr="00117876">
        <w:t>Acute oral</w:t>
      </w:r>
      <w:bookmarkEnd w:id="626"/>
      <w:r w:rsidRPr="00117876">
        <w:t xml:space="preserve"> toxicity</w:t>
      </w:r>
      <w:bookmarkEnd w:id="627"/>
      <w:bookmarkEnd w:id="628"/>
      <w:bookmarkEnd w:id="629"/>
      <w:bookmarkEnd w:id="630"/>
      <w:bookmarkEnd w:id="631"/>
      <w:bookmarkEnd w:id="632"/>
      <w:bookmarkEnd w:id="633"/>
      <w:bookmarkEnd w:id="634"/>
      <w:bookmarkEnd w:id="635"/>
      <w:bookmarkEnd w:id="636"/>
      <w:r w:rsidRPr="00117876">
        <w:t xml:space="preserve"> (KCP 7.1.1)</w:t>
      </w:r>
      <w:bookmarkStart w:id="665" w:name="_Toc314067820"/>
      <w:bookmarkStart w:id="666" w:name="_Toc314122109"/>
      <w:bookmarkStart w:id="667" w:name="_Toc314122257"/>
      <w:bookmarkStart w:id="668" w:name="_Toc111951385"/>
      <w:bookmarkStart w:id="669" w:name="_Toc240611793"/>
      <w:bookmarkStart w:id="670" w:name="_Toc300147935"/>
      <w:bookmarkStart w:id="671" w:name="_Toc304462629"/>
      <w:bookmarkStart w:id="672" w:name="_Toc314067815"/>
      <w:bookmarkStart w:id="673" w:name="_Toc314122104"/>
      <w:bookmarkStart w:id="674" w:name="_Toc314129283"/>
      <w:bookmarkStart w:id="675" w:name="_Toc314142402"/>
      <w:bookmarkEnd w:id="637"/>
      <w:bookmarkEnd w:id="638"/>
      <w:bookmarkEnd w:id="639"/>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2F29F4" w:rsidRPr="00117876" w:rsidRDefault="002F29F4" w:rsidP="002F29F4">
      <w:pPr>
        <w:pStyle w:val="RepStandard"/>
      </w:pPr>
      <w:r w:rsidRPr="00117876">
        <w:t>Please refer to Part B6 Section A 2.2 ‘Acute oral toxicity (KCP 7.1.1)’ of the Atlantis 12 OD re-registration report submitted by Bayer AG.</w:t>
      </w:r>
    </w:p>
    <w:p w:rsidR="002F29F4" w:rsidRPr="00117876" w:rsidRDefault="002F29F4" w:rsidP="002F29F4">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217B1C" w:rsidRPr="00117876" w:rsidTr="00217B1C">
        <w:tc>
          <w:tcPr>
            <w:tcW w:w="1094" w:type="pct"/>
            <w:shd w:val="clear" w:color="auto" w:fill="B3B3B3"/>
          </w:tcPr>
          <w:p w:rsidR="00217B1C" w:rsidRPr="00117876" w:rsidRDefault="00217B1C" w:rsidP="00217B1C">
            <w:pPr>
              <w:pStyle w:val="RepStandard"/>
              <w:rPr>
                <w:rFonts w:eastAsia="Batang"/>
              </w:rPr>
            </w:pPr>
            <w:bookmarkStart w:id="676" w:name="A_O_TOX_A"/>
            <w:bookmarkEnd w:id="676"/>
            <w:r w:rsidRPr="00117876">
              <w:t>Comments of zRMS:</w:t>
            </w:r>
          </w:p>
        </w:tc>
        <w:tc>
          <w:tcPr>
            <w:tcW w:w="3906" w:type="pct"/>
            <w:shd w:val="clear" w:color="auto" w:fill="B3B3B3"/>
          </w:tcPr>
          <w:p w:rsidR="00CB1105" w:rsidRDefault="00CB1105" w:rsidP="00CB1105">
            <w:pPr>
              <w:pStyle w:val="RepStandard"/>
              <w:rPr>
                <w:b/>
              </w:rPr>
            </w:pPr>
            <w:r>
              <w:rPr>
                <w:b/>
              </w:rPr>
              <w:t>The study for ATLANTIS is acceptable</w:t>
            </w:r>
          </w:p>
          <w:p w:rsidR="00CB1105" w:rsidRDefault="00CB1105" w:rsidP="00CB1105">
            <w:pPr>
              <w:pStyle w:val="RepStandard"/>
              <w:rPr>
                <w:b/>
                <w:color w:val="000000"/>
              </w:rPr>
            </w:pPr>
            <w:r w:rsidRPr="00E02304">
              <w:rPr>
                <w:b/>
              </w:rPr>
              <w:t xml:space="preserve">According to the </w:t>
            </w:r>
            <w:r w:rsidRPr="00E02304">
              <w:rPr>
                <w:b/>
                <w:color w:val="000000"/>
              </w:rPr>
              <w:t xml:space="preserve"> Regulation (EC) No 1272/2008 as amended, the formulation ATLANTIS 12 OD  is not classified   LD50 ≥</w:t>
            </w:r>
            <w:r>
              <w:rPr>
                <w:b/>
                <w:color w:val="000000"/>
              </w:rPr>
              <w:t xml:space="preserve">2000 </w:t>
            </w:r>
            <w:r w:rsidRPr="00E02304">
              <w:rPr>
                <w:b/>
                <w:color w:val="000000"/>
              </w:rPr>
              <w:t xml:space="preserve">mg/kg </w:t>
            </w:r>
            <w:proofErr w:type="spellStart"/>
            <w:r w:rsidRPr="00E02304">
              <w:rPr>
                <w:b/>
                <w:color w:val="000000"/>
              </w:rPr>
              <w:t>bw</w:t>
            </w:r>
            <w:proofErr w:type="spellEnd"/>
          </w:p>
          <w:p w:rsidR="00217B1C" w:rsidRPr="00117876" w:rsidRDefault="00217B1C" w:rsidP="00217B1C">
            <w:pPr>
              <w:pStyle w:val="RepStandard"/>
              <w:rPr>
                <w:rFonts w:eastAsia="Batang"/>
              </w:rPr>
            </w:pPr>
          </w:p>
        </w:tc>
      </w:tr>
    </w:tbl>
    <w:p w:rsidR="002A60FE" w:rsidRPr="00117876" w:rsidRDefault="00C81348" w:rsidP="002A60FE">
      <w:pPr>
        <w:pStyle w:val="RepAppendix2"/>
      </w:pPr>
      <w:bookmarkStart w:id="677" w:name="_Toc314557410"/>
      <w:bookmarkStart w:id="678" w:name="_Toc314557668"/>
      <w:bookmarkStart w:id="679" w:name="_Toc328552267"/>
      <w:bookmarkStart w:id="680" w:name="_Toc332020616"/>
      <w:bookmarkStart w:id="681" w:name="_Toc332203460"/>
      <w:bookmarkStart w:id="682" w:name="_Toc332207013"/>
      <w:bookmarkStart w:id="683" w:name="_Toc332296181"/>
      <w:bookmarkStart w:id="684" w:name="_Toc336434748"/>
      <w:bookmarkStart w:id="685" w:name="_Toc397516900"/>
      <w:bookmarkStart w:id="686" w:name="_Toc398627879"/>
      <w:bookmarkStart w:id="687" w:name="_Toc399335735"/>
      <w:bookmarkStart w:id="688" w:name="_Toc399764875"/>
      <w:bookmarkStart w:id="689" w:name="_Toc412562667"/>
      <w:bookmarkStart w:id="690" w:name="_Toc412562744"/>
      <w:bookmarkStart w:id="691" w:name="_Toc413662736"/>
      <w:bookmarkStart w:id="692" w:name="_Toc413673593"/>
      <w:bookmarkStart w:id="693" w:name="_Toc413673691"/>
      <w:bookmarkStart w:id="694" w:name="_Toc413673762"/>
      <w:bookmarkStart w:id="695" w:name="_Toc413928661"/>
      <w:bookmarkStart w:id="696" w:name="_Toc413936275"/>
      <w:bookmarkStart w:id="697" w:name="_Toc413937986"/>
      <w:bookmarkStart w:id="698" w:name="_Toc414026713"/>
      <w:bookmarkStart w:id="699" w:name="_Toc414974092"/>
      <w:bookmarkStart w:id="700" w:name="_Toc450900966"/>
      <w:bookmarkStart w:id="701" w:name="_Toc450920632"/>
      <w:bookmarkStart w:id="702" w:name="_Toc450923753"/>
      <w:bookmarkStart w:id="703" w:name="_Toc454460986"/>
      <w:bookmarkStart w:id="704" w:name="_Toc454462822"/>
      <w:bookmarkStart w:id="705" w:name="_Toc179811313"/>
      <w:bookmarkEnd w:id="665"/>
      <w:bookmarkEnd w:id="666"/>
      <w:bookmarkEnd w:id="667"/>
      <w:r w:rsidRPr="00117876">
        <w:t>Acute percutaneous</w:t>
      </w:r>
      <w:bookmarkEnd w:id="668"/>
      <w:r w:rsidRPr="00117876">
        <w:t xml:space="preserve"> (dermal) toxicity</w:t>
      </w:r>
      <w:bookmarkEnd w:id="669"/>
      <w:bookmarkEnd w:id="670"/>
      <w:bookmarkEnd w:id="671"/>
      <w:bookmarkEnd w:id="672"/>
      <w:bookmarkEnd w:id="673"/>
      <w:bookmarkEnd w:id="674"/>
      <w:bookmarkEnd w:id="675"/>
      <w:bookmarkEnd w:id="677"/>
      <w:bookmarkEnd w:id="678"/>
      <w:r w:rsidRPr="00117876">
        <w:t xml:space="preserve"> (KCP 7.1.2)</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D80E54" w:rsidRPr="00117876" w:rsidRDefault="00D80E54" w:rsidP="00D80E54">
      <w:pPr>
        <w:pStyle w:val="RepStandard"/>
      </w:pPr>
      <w:r w:rsidRPr="00117876">
        <w:t>Please refer to Part B6 Section A 2.3 ‘</w:t>
      </w:r>
      <w:r w:rsidR="007A3FFB" w:rsidRPr="00117876">
        <w:t>Acute percutaneous (dermal) toxicity (KCP 7.1.2)</w:t>
      </w:r>
      <w:r w:rsidRPr="00117876">
        <w:t>’ of the Atlantis 12 OD re-registration report submitted by Bayer AG.</w:t>
      </w:r>
    </w:p>
    <w:p w:rsidR="00016A72" w:rsidRPr="00117876" w:rsidRDefault="00016A72" w:rsidP="00016A7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217B1C" w:rsidRPr="00117876" w:rsidTr="00217B1C">
        <w:tc>
          <w:tcPr>
            <w:tcW w:w="1094" w:type="pct"/>
            <w:shd w:val="clear" w:color="auto" w:fill="B3B3B3"/>
          </w:tcPr>
          <w:p w:rsidR="00217B1C" w:rsidRPr="00117876" w:rsidRDefault="00217B1C" w:rsidP="00217B1C">
            <w:pPr>
              <w:pStyle w:val="RepStandard"/>
              <w:rPr>
                <w:rFonts w:eastAsia="Batang"/>
              </w:rPr>
            </w:pPr>
            <w:bookmarkStart w:id="706" w:name="A_D_TOX_A"/>
            <w:bookmarkEnd w:id="706"/>
            <w:r w:rsidRPr="00117876">
              <w:t>Comments of zRMS:</w:t>
            </w:r>
          </w:p>
        </w:tc>
        <w:tc>
          <w:tcPr>
            <w:tcW w:w="3906" w:type="pct"/>
            <w:shd w:val="clear" w:color="auto" w:fill="B3B3B3"/>
          </w:tcPr>
          <w:p w:rsidR="00CB1105" w:rsidRDefault="00CB1105" w:rsidP="00CB1105">
            <w:pPr>
              <w:pStyle w:val="RepStandard"/>
              <w:rPr>
                <w:b/>
              </w:rPr>
            </w:pPr>
            <w:r>
              <w:rPr>
                <w:b/>
              </w:rPr>
              <w:t>The study for ATLANTIS is acceptable</w:t>
            </w:r>
          </w:p>
          <w:p w:rsidR="00CB1105" w:rsidRPr="00E02304" w:rsidRDefault="00CB1105" w:rsidP="00CB1105">
            <w:pPr>
              <w:pStyle w:val="RepStandard"/>
              <w:rPr>
                <w:b/>
                <w:color w:val="000000"/>
              </w:rPr>
            </w:pPr>
            <w:r w:rsidRPr="00E02304">
              <w:rPr>
                <w:b/>
              </w:rPr>
              <w:t xml:space="preserve">According to the </w:t>
            </w:r>
            <w:r w:rsidRPr="00E02304">
              <w:rPr>
                <w:b/>
                <w:color w:val="000000"/>
              </w:rPr>
              <w:t xml:space="preserve"> Regulation (EC) No 1272/2008 as amended, the formulation ATLANTIS 12 OD  is not classified   LD50 </w:t>
            </w:r>
            <w:r>
              <w:rPr>
                <w:b/>
                <w:color w:val="000000"/>
              </w:rPr>
              <w:t>&gt;4</w:t>
            </w:r>
            <w:r w:rsidRPr="00E02304">
              <w:rPr>
                <w:b/>
                <w:color w:val="000000"/>
              </w:rPr>
              <w:t>000</w:t>
            </w:r>
            <w:r w:rsidRPr="00E02304">
              <w:rPr>
                <w:b/>
              </w:rPr>
              <w:t xml:space="preserve"> </w:t>
            </w:r>
            <w:r w:rsidRPr="00E02304">
              <w:rPr>
                <w:b/>
                <w:color w:val="000000"/>
              </w:rPr>
              <w:t xml:space="preserve">mg/kg </w:t>
            </w:r>
            <w:proofErr w:type="spellStart"/>
            <w:r w:rsidRPr="00E02304">
              <w:rPr>
                <w:b/>
                <w:color w:val="000000"/>
              </w:rPr>
              <w:t>bw</w:t>
            </w:r>
            <w:proofErr w:type="spellEnd"/>
          </w:p>
          <w:p w:rsidR="00217B1C" w:rsidRPr="00117876" w:rsidRDefault="00217B1C" w:rsidP="00217B1C">
            <w:pPr>
              <w:pStyle w:val="RepStandard"/>
              <w:rPr>
                <w:rFonts w:eastAsia="Batang"/>
              </w:rPr>
            </w:pPr>
          </w:p>
        </w:tc>
      </w:tr>
    </w:tbl>
    <w:p w:rsidR="00E0102D" w:rsidRPr="00117876" w:rsidRDefault="00E0102D" w:rsidP="00217B1C">
      <w:pPr>
        <w:pStyle w:val="RepAppendix2"/>
      </w:pPr>
      <w:bookmarkStart w:id="707" w:name="A_I_TOX_A"/>
      <w:bookmarkStart w:id="708" w:name="_Toc179811314"/>
      <w:bookmarkStart w:id="709" w:name="_Toc111951387"/>
      <w:bookmarkStart w:id="710" w:name="_Toc240611795"/>
      <w:bookmarkStart w:id="711" w:name="_Toc300147937"/>
      <w:bookmarkStart w:id="712" w:name="_Toc304462631"/>
      <w:bookmarkStart w:id="713" w:name="_Toc314067823"/>
      <w:bookmarkStart w:id="714" w:name="_Toc314122112"/>
      <w:bookmarkStart w:id="715" w:name="_Toc314129285"/>
      <w:bookmarkStart w:id="716" w:name="_Toc314142404"/>
      <w:bookmarkStart w:id="717" w:name="_Toc314557414"/>
      <w:bookmarkStart w:id="718" w:name="_Toc314557672"/>
      <w:bookmarkStart w:id="719" w:name="_Toc328552271"/>
      <w:bookmarkStart w:id="720" w:name="_Toc332020620"/>
      <w:bookmarkStart w:id="721" w:name="_Toc332203464"/>
      <w:bookmarkStart w:id="722" w:name="_Toc332207017"/>
      <w:bookmarkStart w:id="723" w:name="_Toc332296185"/>
      <w:bookmarkStart w:id="724" w:name="_Toc336434752"/>
      <w:bookmarkStart w:id="725" w:name="_Toc397516904"/>
      <w:bookmarkStart w:id="726" w:name="_Toc398627881"/>
      <w:bookmarkStart w:id="727" w:name="_Toc399335739"/>
      <w:bookmarkStart w:id="728" w:name="_Toc399764877"/>
      <w:bookmarkStart w:id="729" w:name="_Toc412562671"/>
      <w:bookmarkStart w:id="730" w:name="_Toc412562748"/>
      <w:bookmarkStart w:id="731" w:name="_Toc413662740"/>
      <w:bookmarkStart w:id="732" w:name="_Toc413673597"/>
      <w:bookmarkStart w:id="733" w:name="_Toc413673695"/>
      <w:bookmarkStart w:id="734" w:name="_Toc413673766"/>
      <w:bookmarkStart w:id="735" w:name="_Toc413928665"/>
      <w:bookmarkStart w:id="736" w:name="_Toc413936279"/>
      <w:bookmarkStart w:id="737" w:name="_Toc413937990"/>
      <w:bookmarkStart w:id="738" w:name="_Toc414026717"/>
      <w:bookmarkStart w:id="739" w:name="_Toc414974096"/>
      <w:bookmarkStart w:id="740" w:name="_Toc450900970"/>
      <w:bookmarkStart w:id="741" w:name="_Toc450920636"/>
      <w:bookmarkStart w:id="742" w:name="_Toc450923757"/>
      <w:bookmarkStart w:id="743" w:name="_Toc454460990"/>
      <w:bookmarkStart w:id="744" w:name="_Toc454462826"/>
      <w:bookmarkEnd w:id="707"/>
      <w:r w:rsidRPr="00117876">
        <w:t>Acute inhalation toxicity (</w:t>
      </w:r>
      <w:r w:rsidR="00484297" w:rsidRPr="00117876">
        <w:t xml:space="preserve">KCP </w:t>
      </w:r>
      <w:r w:rsidR="00165B1C" w:rsidRPr="00117876">
        <w:t>7.1.3)</w:t>
      </w:r>
      <w:bookmarkEnd w:id="708"/>
    </w:p>
    <w:p w:rsidR="00165B1C" w:rsidRPr="00117876" w:rsidRDefault="00165B1C" w:rsidP="00165B1C">
      <w:pPr>
        <w:pStyle w:val="RepStandard"/>
      </w:pPr>
      <w:r w:rsidRPr="00117876">
        <w:t>Please refer to Part B6 Section A 2.4 ‘Acute inhalation toxicity (KCP 7.1.3)’ of the Atlantis 12 OD re-registration report submitted by Bayer AG.</w:t>
      </w:r>
    </w:p>
    <w:p w:rsidR="00165B1C" w:rsidRPr="00117876" w:rsidRDefault="00165B1C" w:rsidP="00165B1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165B1C" w:rsidRPr="00117876" w:rsidTr="001D131F">
        <w:tc>
          <w:tcPr>
            <w:tcW w:w="1094" w:type="pct"/>
            <w:shd w:val="clear" w:color="auto" w:fill="B3B3B3"/>
          </w:tcPr>
          <w:p w:rsidR="00165B1C" w:rsidRPr="00117876" w:rsidRDefault="00165B1C" w:rsidP="001D131F">
            <w:pPr>
              <w:pStyle w:val="RepStandard"/>
              <w:rPr>
                <w:rFonts w:eastAsia="Batang"/>
              </w:rPr>
            </w:pPr>
            <w:bookmarkStart w:id="745" w:name="_Toc314557413"/>
            <w:bookmarkStart w:id="746" w:name="_Toc314557671"/>
            <w:bookmarkStart w:id="747" w:name="_Toc328552270"/>
            <w:bookmarkStart w:id="748" w:name="_Toc332020619"/>
            <w:bookmarkStart w:id="749" w:name="_Toc332203463"/>
            <w:bookmarkStart w:id="750" w:name="_Toc332207016"/>
            <w:r w:rsidRPr="00117876">
              <w:t>Comments of zRMS:</w:t>
            </w:r>
          </w:p>
        </w:tc>
        <w:tc>
          <w:tcPr>
            <w:tcW w:w="3906" w:type="pct"/>
            <w:shd w:val="clear" w:color="auto" w:fill="B3B3B3"/>
          </w:tcPr>
          <w:p w:rsidR="00CB1105" w:rsidRPr="0013282A" w:rsidRDefault="00CB1105" w:rsidP="00CB1105">
            <w:pPr>
              <w:rPr>
                <w:b/>
              </w:rPr>
            </w:pPr>
            <w:r w:rsidRPr="0013282A">
              <w:rPr>
                <w:b/>
              </w:rPr>
              <w:t>Calculation for ATLANTIS is acceptable</w:t>
            </w:r>
          </w:p>
          <w:p w:rsidR="00CB1105" w:rsidRDefault="00CB1105" w:rsidP="00CB1105">
            <w:pPr>
              <w:rPr>
                <w:b/>
                <w:color w:val="000000"/>
              </w:rPr>
            </w:pPr>
            <w:r w:rsidRPr="0013282A">
              <w:rPr>
                <w:b/>
              </w:rPr>
              <w:t xml:space="preserve">According to the </w:t>
            </w:r>
            <w:r w:rsidRPr="0013282A">
              <w:rPr>
                <w:b/>
                <w:color w:val="000000"/>
              </w:rPr>
              <w:t xml:space="preserve"> Regulation (EC) No 1272/2008 as amended, the formulation ATLANTIS 12 OD  is not classified   </w:t>
            </w:r>
          </w:p>
          <w:p w:rsidR="00165B1C" w:rsidRPr="00117876" w:rsidRDefault="00165B1C" w:rsidP="001D131F">
            <w:pPr>
              <w:pStyle w:val="RepStandard"/>
              <w:rPr>
                <w:rFonts w:eastAsia="Batang"/>
              </w:rPr>
            </w:pPr>
          </w:p>
        </w:tc>
      </w:tr>
    </w:tbl>
    <w:p w:rsidR="00C81348" w:rsidRPr="00117876" w:rsidRDefault="00C81348" w:rsidP="00217B1C">
      <w:pPr>
        <w:pStyle w:val="RepAppendix2"/>
      </w:pPr>
      <w:bookmarkStart w:id="751" w:name="_Toc179811315"/>
      <w:bookmarkEnd w:id="745"/>
      <w:bookmarkEnd w:id="746"/>
      <w:bookmarkEnd w:id="747"/>
      <w:bookmarkEnd w:id="748"/>
      <w:bookmarkEnd w:id="749"/>
      <w:bookmarkEnd w:id="750"/>
      <w:r w:rsidRPr="00117876">
        <w:t>Skin irritation</w:t>
      </w:r>
      <w:bookmarkEnd w:id="709"/>
      <w:bookmarkEnd w:id="710"/>
      <w:bookmarkEnd w:id="711"/>
      <w:bookmarkEnd w:id="712"/>
      <w:bookmarkEnd w:id="713"/>
      <w:bookmarkEnd w:id="714"/>
      <w:bookmarkEnd w:id="715"/>
      <w:bookmarkEnd w:id="716"/>
      <w:bookmarkEnd w:id="717"/>
      <w:bookmarkEnd w:id="718"/>
      <w:r w:rsidRPr="00117876">
        <w:t xml:space="preserve"> (KCP 7.1.4)</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51"/>
    </w:p>
    <w:p w:rsidR="004725B8" w:rsidRPr="00117876" w:rsidRDefault="004725B8" w:rsidP="004725B8">
      <w:pPr>
        <w:pStyle w:val="RepStandard"/>
      </w:pPr>
      <w:bookmarkStart w:id="752" w:name="_Hlk121926619"/>
      <w:r w:rsidRPr="00117876">
        <w:t>Please refer to Part B6 Section A 2.</w:t>
      </w:r>
      <w:r w:rsidR="00B74F24" w:rsidRPr="00117876">
        <w:t>5</w:t>
      </w:r>
      <w:r w:rsidRPr="00117876">
        <w:t xml:space="preserve"> ‘</w:t>
      </w:r>
      <w:r w:rsidR="00B74F24" w:rsidRPr="00117876">
        <w:t>Skin irritation (KCP 7.1.4)</w:t>
      </w:r>
      <w:r w:rsidRPr="00117876">
        <w:t>’ of the Atlantis 12 OD re-registration report submitted by Bayer AG.</w:t>
      </w:r>
    </w:p>
    <w:bookmarkEnd w:id="752"/>
    <w:p w:rsidR="004725B8" w:rsidRPr="00117876" w:rsidRDefault="004725B8" w:rsidP="004725B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217B1C" w:rsidRPr="00117876" w:rsidTr="00217B1C">
        <w:tc>
          <w:tcPr>
            <w:tcW w:w="1094" w:type="pct"/>
            <w:shd w:val="clear" w:color="auto" w:fill="B3B3B3"/>
          </w:tcPr>
          <w:p w:rsidR="00217B1C" w:rsidRPr="00117876" w:rsidRDefault="00217B1C" w:rsidP="00217B1C">
            <w:pPr>
              <w:pStyle w:val="RepStandard"/>
              <w:rPr>
                <w:rFonts w:eastAsia="Batang"/>
              </w:rPr>
            </w:pPr>
            <w:bookmarkStart w:id="753" w:name="Hautreiz_A"/>
            <w:bookmarkStart w:id="754" w:name="_Toc111951388"/>
            <w:bookmarkEnd w:id="753"/>
            <w:r w:rsidRPr="00117876">
              <w:t>Comments of zRMS:</w:t>
            </w:r>
          </w:p>
        </w:tc>
        <w:tc>
          <w:tcPr>
            <w:tcW w:w="3906" w:type="pct"/>
            <w:shd w:val="clear" w:color="auto" w:fill="B3B3B3"/>
          </w:tcPr>
          <w:p w:rsidR="00CB1105" w:rsidRDefault="00CB1105" w:rsidP="00CB1105">
            <w:pPr>
              <w:pStyle w:val="RepStandard"/>
              <w:rPr>
                <w:b/>
              </w:rPr>
            </w:pPr>
            <w:r>
              <w:rPr>
                <w:b/>
              </w:rPr>
              <w:t>The study for ATLANTIS is acceptable</w:t>
            </w:r>
          </w:p>
          <w:p w:rsidR="00CB1105" w:rsidRDefault="00CB1105" w:rsidP="00CB1105">
            <w:pPr>
              <w:pStyle w:val="RepStandard"/>
              <w:rPr>
                <w:b/>
                <w:color w:val="000000"/>
              </w:rPr>
            </w:pPr>
            <w:r w:rsidRPr="00E02304">
              <w:rPr>
                <w:b/>
              </w:rPr>
              <w:t xml:space="preserve">According to the </w:t>
            </w:r>
            <w:r w:rsidRPr="00E02304">
              <w:rPr>
                <w:b/>
                <w:color w:val="000000"/>
              </w:rPr>
              <w:t xml:space="preserve"> Regulation (EC) No 1272/2008 as amended, the formulation ATLANTIS 12 OD  is </w:t>
            </w:r>
            <w:r>
              <w:rPr>
                <w:b/>
                <w:color w:val="000000"/>
              </w:rPr>
              <w:t>not classified</w:t>
            </w:r>
          </w:p>
          <w:p w:rsidR="00217B1C" w:rsidRPr="00117876" w:rsidRDefault="00217B1C" w:rsidP="00217B1C">
            <w:pPr>
              <w:pStyle w:val="RepStandard"/>
              <w:rPr>
                <w:rFonts w:eastAsia="Batang"/>
              </w:rPr>
            </w:pPr>
          </w:p>
        </w:tc>
      </w:tr>
    </w:tbl>
    <w:p w:rsidR="008E0ED5" w:rsidRPr="00117876" w:rsidRDefault="008E0ED5" w:rsidP="008E0ED5">
      <w:pPr>
        <w:pStyle w:val="RepStandard"/>
      </w:pPr>
    </w:p>
    <w:p w:rsidR="00C81348" w:rsidRPr="00117876" w:rsidRDefault="00C81348" w:rsidP="00217B1C">
      <w:pPr>
        <w:pStyle w:val="RepAppendix2"/>
      </w:pPr>
      <w:bookmarkStart w:id="755" w:name="_Toc240611796"/>
      <w:bookmarkStart w:id="756" w:name="_Toc300147938"/>
      <w:bookmarkStart w:id="757" w:name="_Toc304462632"/>
      <w:bookmarkStart w:id="758" w:name="_Toc314067827"/>
      <w:bookmarkStart w:id="759" w:name="_Toc314122116"/>
      <w:bookmarkStart w:id="760" w:name="_Toc314129287"/>
      <w:bookmarkStart w:id="761" w:name="_Toc314142405"/>
      <w:bookmarkStart w:id="762" w:name="_Toc314557416"/>
      <w:bookmarkStart w:id="763" w:name="_Toc314557674"/>
      <w:bookmarkStart w:id="764" w:name="_Toc328552273"/>
      <w:bookmarkStart w:id="765" w:name="_Toc332020622"/>
      <w:bookmarkStart w:id="766" w:name="_Toc332203466"/>
      <w:bookmarkStart w:id="767" w:name="_Toc332207019"/>
      <w:bookmarkStart w:id="768" w:name="_Toc332296187"/>
      <w:bookmarkStart w:id="769" w:name="_Toc336434754"/>
      <w:bookmarkStart w:id="770" w:name="_Toc397516906"/>
      <w:bookmarkStart w:id="771" w:name="_Toc398627882"/>
      <w:bookmarkStart w:id="772" w:name="_Toc399335741"/>
      <w:bookmarkStart w:id="773" w:name="_Toc399764878"/>
      <w:bookmarkStart w:id="774" w:name="_Toc412562673"/>
      <w:bookmarkStart w:id="775" w:name="_Toc412562750"/>
      <w:bookmarkStart w:id="776" w:name="_Toc413662742"/>
      <w:bookmarkStart w:id="777" w:name="_Toc413673599"/>
      <w:bookmarkStart w:id="778" w:name="_Toc413673697"/>
      <w:bookmarkStart w:id="779" w:name="_Toc413673768"/>
      <w:bookmarkStart w:id="780" w:name="_Toc413928667"/>
      <w:bookmarkStart w:id="781" w:name="_Toc413936281"/>
      <w:bookmarkStart w:id="782" w:name="_Toc413937992"/>
      <w:bookmarkStart w:id="783" w:name="_Toc414026719"/>
      <w:bookmarkStart w:id="784" w:name="_Toc414974098"/>
      <w:bookmarkStart w:id="785" w:name="_Toc450900972"/>
      <w:bookmarkStart w:id="786" w:name="_Toc450920638"/>
      <w:bookmarkStart w:id="787" w:name="_Toc450923759"/>
      <w:bookmarkStart w:id="788" w:name="_Toc454460992"/>
      <w:bookmarkStart w:id="789" w:name="_Toc454462828"/>
      <w:bookmarkStart w:id="790" w:name="_Toc179811316"/>
      <w:r w:rsidRPr="00117876">
        <w:lastRenderedPageBreak/>
        <w:t>Eye irritation</w:t>
      </w:r>
      <w:bookmarkEnd w:id="754"/>
      <w:bookmarkEnd w:id="755"/>
      <w:bookmarkEnd w:id="756"/>
      <w:bookmarkEnd w:id="757"/>
      <w:bookmarkEnd w:id="758"/>
      <w:bookmarkEnd w:id="759"/>
      <w:bookmarkEnd w:id="760"/>
      <w:bookmarkEnd w:id="761"/>
      <w:bookmarkEnd w:id="762"/>
      <w:bookmarkEnd w:id="763"/>
      <w:r w:rsidRPr="00117876">
        <w:t xml:space="preserve"> (KCP 7.1.5)</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8E1BBB" w:rsidRPr="00117876" w:rsidRDefault="008E1BBB" w:rsidP="008E1BBB">
      <w:pPr>
        <w:pStyle w:val="RepStandard"/>
      </w:pPr>
      <w:r w:rsidRPr="00117876">
        <w:t>Please refer to Part B6 Section A 2.6 ‘Eye irritation (KCP 7.1.5)’ of the Atlantis 12 OD re-registration report submitted by Bayer AG.</w:t>
      </w:r>
    </w:p>
    <w:p w:rsidR="006D3B6A" w:rsidRPr="00117876" w:rsidRDefault="006D3B6A" w:rsidP="008E1BBB">
      <w:pPr>
        <w:pStyle w:val="RepStandard"/>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35"/>
      </w:tblGrid>
      <w:tr w:rsidR="00217B1C" w:rsidRPr="00117876" w:rsidTr="006D3B6A">
        <w:tc>
          <w:tcPr>
            <w:tcW w:w="1093" w:type="pct"/>
            <w:shd w:val="clear" w:color="auto" w:fill="B3B3B3"/>
          </w:tcPr>
          <w:p w:rsidR="00217B1C" w:rsidRPr="00117876" w:rsidRDefault="00217B1C" w:rsidP="00217B1C">
            <w:pPr>
              <w:pStyle w:val="RepStandard"/>
              <w:rPr>
                <w:rFonts w:eastAsia="Batang"/>
              </w:rPr>
            </w:pPr>
            <w:bookmarkStart w:id="791" w:name="Augenreiz_A"/>
            <w:bookmarkStart w:id="792" w:name="_Toc111951389"/>
            <w:bookmarkStart w:id="793" w:name="_Toc240611797"/>
            <w:bookmarkEnd w:id="791"/>
            <w:r w:rsidRPr="00117876">
              <w:t>Comments of zRMS:</w:t>
            </w:r>
          </w:p>
        </w:tc>
        <w:tc>
          <w:tcPr>
            <w:tcW w:w="3907" w:type="pct"/>
            <w:shd w:val="clear" w:color="auto" w:fill="B3B3B3"/>
          </w:tcPr>
          <w:p w:rsidR="00CB1105" w:rsidRDefault="00CB1105" w:rsidP="00CB1105">
            <w:pPr>
              <w:pStyle w:val="RepStandard"/>
              <w:rPr>
                <w:b/>
              </w:rPr>
            </w:pPr>
            <w:r>
              <w:rPr>
                <w:b/>
              </w:rPr>
              <w:t>The study for ATLANTIS is acceptable</w:t>
            </w:r>
          </w:p>
          <w:p w:rsidR="00CB1105" w:rsidRDefault="00CB1105" w:rsidP="00CB1105">
            <w:pPr>
              <w:pStyle w:val="RepStandard"/>
              <w:rPr>
                <w:b/>
                <w:color w:val="000000"/>
              </w:rPr>
            </w:pPr>
            <w:r w:rsidRPr="00E02304">
              <w:rPr>
                <w:b/>
              </w:rPr>
              <w:t xml:space="preserve">According to the </w:t>
            </w:r>
            <w:r w:rsidRPr="00E02304">
              <w:rPr>
                <w:b/>
                <w:color w:val="000000"/>
              </w:rPr>
              <w:t xml:space="preserve"> Regulation (EC) No 1272/2008 as amended, the formulation ATLANTIS 12 OD  is  </w:t>
            </w:r>
            <w:r>
              <w:rPr>
                <w:b/>
                <w:color w:val="000000"/>
              </w:rPr>
              <w:t xml:space="preserve"> </w:t>
            </w:r>
            <w:r w:rsidRPr="00E02304">
              <w:rPr>
                <w:b/>
                <w:color w:val="000000"/>
              </w:rPr>
              <w:t xml:space="preserve">classified  </w:t>
            </w:r>
            <w:r w:rsidRPr="0013282A">
              <w:rPr>
                <w:b/>
                <w:color w:val="000000"/>
              </w:rPr>
              <w:t>H319/Eye Irrit.2</w:t>
            </w:r>
          </w:p>
          <w:p w:rsidR="00217B1C" w:rsidRPr="00117876" w:rsidRDefault="00217B1C" w:rsidP="00217B1C">
            <w:pPr>
              <w:pStyle w:val="RepStandard"/>
              <w:rPr>
                <w:rFonts w:eastAsia="Batang"/>
              </w:rPr>
            </w:pPr>
          </w:p>
        </w:tc>
      </w:tr>
    </w:tbl>
    <w:p w:rsidR="00C81348" w:rsidRPr="00117876" w:rsidRDefault="00C81348" w:rsidP="00217B1C">
      <w:pPr>
        <w:pStyle w:val="RepAppendix2"/>
      </w:pPr>
      <w:bookmarkStart w:id="794" w:name="_Toc300147939"/>
      <w:bookmarkStart w:id="795" w:name="_Toc304462633"/>
      <w:bookmarkStart w:id="796" w:name="_Toc314067831"/>
      <w:bookmarkStart w:id="797" w:name="_Toc314122120"/>
      <w:bookmarkStart w:id="798" w:name="_Toc314129289"/>
      <w:bookmarkStart w:id="799" w:name="_Ref314138474"/>
      <w:bookmarkStart w:id="800" w:name="_Toc314142406"/>
      <w:bookmarkStart w:id="801" w:name="_Toc314557418"/>
      <w:bookmarkStart w:id="802" w:name="_Toc314557676"/>
      <w:bookmarkStart w:id="803" w:name="_Toc328552275"/>
      <w:bookmarkStart w:id="804" w:name="_Toc332020624"/>
      <w:bookmarkStart w:id="805" w:name="_Toc332203468"/>
      <w:bookmarkStart w:id="806" w:name="_Toc332207021"/>
      <w:bookmarkStart w:id="807" w:name="_Toc332296189"/>
      <w:bookmarkStart w:id="808" w:name="_Toc336434756"/>
      <w:bookmarkStart w:id="809" w:name="_Toc397516908"/>
      <w:bookmarkStart w:id="810" w:name="_Toc398627883"/>
      <w:bookmarkStart w:id="811" w:name="_Toc399335743"/>
      <w:bookmarkStart w:id="812" w:name="_Toc399764879"/>
      <w:bookmarkStart w:id="813" w:name="_Toc412562675"/>
      <w:bookmarkStart w:id="814" w:name="_Toc412562752"/>
      <w:bookmarkStart w:id="815" w:name="_Toc413662744"/>
      <w:bookmarkStart w:id="816" w:name="_Toc413673601"/>
      <w:bookmarkStart w:id="817" w:name="_Toc413673699"/>
      <w:bookmarkStart w:id="818" w:name="_Toc413673770"/>
      <w:bookmarkStart w:id="819" w:name="_Toc413928669"/>
      <w:bookmarkStart w:id="820" w:name="_Toc413936283"/>
      <w:bookmarkStart w:id="821" w:name="_Toc413937994"/>
      <w:bookmarkStart w:id="822" w:name="_Toc414026721"/>
      <w:bookmarkStart w:id="823" w:name="_Toc414974100"/>
      <w:bookmarkStart w:id="824" w:name="_Toc450900974"/>
      <w:bookmarkStart w:id="825" w:name="_Toc450920640"/>
      <w:bookmarkStart w:id="826" w:name="_Toc450923761"/>
      <w:bookmarkStart w:id="827" w:name="_Toc454460994"/>
      <w:bookmarkStart w:id="828" w:name="_Toc454462830"/>
      <w:bookmarkStart w:id="829" w:name="_Toc179811317"/>
      <w:r w:rsidRPr="00117876">
        <w:t>Skin sensitisation</w:t>
      </w:r>
      <w:bookmarkEnd w:id="792"/>
      <w:bookmarkEnd w:id="793"/>
      <w:bookmarkEnd w:id="794"/>
      <w:bookmarkEnd w:id="795"/>
      <w:bookmarkEnd w:id="796"/>
      <w:bookmarkEnd w:id="797"/>
      <w:bookmarkEnd w:id="798"/>
      <w:bookmarkEnd w:id="799"/>
      <w:bookmarkEnd w:id="800"/>
      <w:bookmarkEnd w:id="801"/>
      <w:bookmarkEnd w:id="802"/>
      <w:r w:rsidRPr="00117876">
        <w:t xml:space="preserve"> (KCP 7.1.6)</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6D3B6A" w:rsidRPr="00117876" w:rsidRDefault="006D3B6A" w:rsidP="006D3B6A">
      <w:pPr>
        <w:pStyle w:val="RepStandard"/>
      </w:pPr>
      <w:r w:rsidRPr="00117876">
        <w:t>Please refer to Part B6 Section A 2.7 ‘Skin sensitisation (KCP 7.1.6)’ of the Atlantis 12 OD re-registration report submitted by Bayer AG.</w:t>
      </w:r>
    </w:p>
    <w:p w:rsidR="006D3B6A" w:rsidRPr="00117876" w:rsidRDefault="006D3B6A" w:rsidP="006D3B6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052"/>
        <w:gridCol w:w="7326"/>
      </w:tblGrid>
      <w:tr w:rsidR="00217B1C" w:rsidRPr="00117876" w:rsidTr="00217B1C">
        <w:tc>
          <w:tcPr>
            <w:tcW w:w="1094" w:type="pct"/>
            <w:shd w:val="clear" w:color="auto" w:fill="B3B3B3"/>
          </w:tcPr>
          <w:p w:rsidR="00217B1C" w:rsidRPr="00117876" w:rsidRDefault="00217B1C" w:rsidP="00217B1C">
            <w:pPr>
              <w:pStyle w:val="RepStandard"/>
              <w:rPr>
                <w:rFonts w:eastAsia="Batang"/>
              </w:rPr>
            </w:pPr>
            <w:bookmarkStart w:id="830" w:name="Sens_A"/>
            <w:bookmarkEnd w:id="830"/>
            <w:r w:rsidRPr="00117876">
              <w:t>Comments of zRMS:</w:t>
            </w:r>
          </w:p>
        </w:tc>
        <w:tc>
          <w:tcPr>
            <w:tcW w:w="3906" w:type="pct"/>
            <w:shd w:val="clear" w:color="auto" w:fill="B3B3B3"/>
          </w:tcPr>
          <w:p w:rsidR="00CB1105" w:rsidRDefault="00CB1105" w:rsidP="00CB1105">
            <w:pPr>
              <w:pStyle w:val="RepStandard"/>
              <w:rPr>
                <w:b/>
              </w:rPr>
            </w:pPr>
            <w:r>
              <w:rPr>
                <w:b/>
              </w:rPr>
              <w:t>The study for ATLANTIS is acceptable</w:t>
            </w:r>
          </w:p>
          <w:p w:rsidR="00CB1105" w:rsidRDefault="00CB1105" w:rsidP="00CB1105">
            <w:pPr>
              <w:pStyle w:val="RepStandard"/>
              <w:rPr>
                <w:b/>
                <w:color w:val="000000"/>
              </w:rPr>
            </w:pPr>
            <w:r w:rsidRPr="00E02304">
              <w:rPr>
                <w:b/>
              </w:rPr>
              <w:t xml:space="preserve">According to the </w:t>
            </w:r>
            <w:r w:rsidRPr="00E02304">
              <w:rPr>
                <w:b/>
                <w:color w:val="000000"/>
              </w:rPr>
              <w:t xml:space="preserve"> Regulation (EC) No 1272/2008 as amended, the formulation ATLANTIS 12 OD  is  </w:t>
            </w:r>
            <w:r>
              <w:rPr>
                <w:b/>
                <w:color w:val="000000"/>
              </w:rPr>
              <w:t xml:space="preserve">not </w:t>
            </w:r>
            <w:proofErr w:type="spellStart"/>
            <w:r>
              <w:rPr>
                <w:b/>
                <w:color w:val="000000"/>
              </w:rPr>
              <w:t>isensitisating</w:t>
            </w:r>
            <w:proofErr w:type="spellEnd"/>
            <w:r>
              <w:rPr>
                <w:b/>
                <w:color w:val="000000"/>
              </w:rPr>
              <w:t xml:space="preserve"> to skin and then is not </w:t>
            </w:r>
            <w:r w:rsidRPr="00E02304">
              <w:rPr>
                <w:b/>
                <w:color w:val="000000"/>
              </w:rPr>
              <w:t xml:space="preserve">classified  </w:t>
            </w:r>
          </w:p>
          <w:p w:rsidR="00217B1C" w:rsidRPr="00117876" w:rsidRDefault="00217B1C" w:rsidP="00217B1C">
            <w:pPr>
              <w:pStyle w:val="RepStandard"/>
              <w:rPr>
                <w:rFonts w:eastAsia="Batang"/>
              </w:rPr>
            </w:pPr>
          </w:p>
        </w:tc>
      </w:tr>
    </w:tbl>
    <w:p w:rsidR="00C81348" w:rsidRPr="00B32849" w:rsidRDefault="00C81348" w:rsidP="00D46D5F">
      <w:pPr>
        <w:pStyle w:val="RepAppendix2"/>
      </w:pPr>
      <w:bookmarkStart w:id="831" w:name="_Toc300147940"/>
      <w:bookmarkStart w:id="832" w:name="_Toc304462634"/>
      <w:bookmarkStart w:id="833" w:name="_Toc314067833"/>
      <w:bookmarkStart w:id="834" w:name="_Toc314122122"/>
      <w:bookmarkStart w:id="835" w:name="_Toc314129291"/>
      <w:bookmarkStart w:id="836" w:name="_Toc314142407"/>
      <w:bookmarkStart w:id="837" w:name="_Toc314557420"/>
      <w:bookmarkStart w:id="838" w:name="_Toc314557678"/>
      <w:bookmarkStart w:id="839" w:name="_Toc328552277"/>
      <w:bookmarkStart w:id="840" w:name="_Toc332020626"/>
      <w:bookmarkStart w:id="841" w:name="_Toc332203470"/>
      <w:bookmarkStart w:id="842" w:name="_Toc332207023"/>
      <w:bookmarkStart w:id="843" w:name="_Toc332296191"/>
      <w:bookmarkStart w:id="844" w:name="_Toc336434758"/>
      <w:bookmarkStart w:id="845" w:name="_Toc397516910"/>
      <w:bookmarkStart w:id="846" w:name="_Toc398627884"/>
      <w:bookmarkStart w:id="847" w:name="_Toc399335745"/>
      <w:bookmarkStart w:id="848" w:name="_Toc399764880"/>
      <w:bookmarkStart w:id="849" w:name="_Toc412562677"/>
      <w:bookmarkStart w:id="850" w:name="_Toc412562754"/>
      <w:bookmarkStart w:id="851" w:name="_Toc413662746"/>
      <w:bookmarkStart w:id="852" w:name="_Toc413673603"/>
      <w:bookmarkStart w:id="853" w:name="_Toc413673701"/>
      <w:bookmarkStart w:id="854" w:name="_Toc413673772"/>
      <w:bookmarkStart w:id="855" w:name="_Toc413928671"/>
      <w:bookmarkStart w:id="856" w:name="_Toc413936285"/>
      <w:bookmarkStart w:id="857" w:name="_Toc413937996"/>
      <w:bookmarkStart w:id="858" w:name="_Toc414026723"/>
      <w:bookmarkStart w:id="859" w:name="_Toc414974102"/>
      <w:bookmarkStart w:id="860" w:name="_Toc450900976"/>
      <w:bookmarkStart w:id="861" w:name="_Toc450920642"/>
      <w:bookmarkStart w:id="862" w:name="_Toc450923763"/>
      <w:bookmarkStart w:id="863" w:name="_Toc454460996"/>
      <w:bookmarkStart w:id="864" w:name="_Toc454462832"/>
      <w:bookmarkStart w:id="865" w:name="_Toc179811318"/>
      <w:r w:rsidRPr="00117876">
        <w:t>Supplementary studies for combinations of plant protection</w:t>
      </w:r>
      <w:r w:rsidRPr="00B32849">
        <w:t xml:space="preserve"> products</w:t>
      </w:r>
      <w:bookmarkEnd w:id="831"/>
      <w:bookmarkEnd w:id="832"/>
      <w:bookmarkEnd w:id="833"/>
      <w:bookmarkEnd w:id="834"/>
      <w:bookmarkEnd w:id="835"/>
      <w:bookmarkEnd w:id="836"/>
      <w:bookmarkEnd w:id="837"/>
      <w:bookmarkEnd w:id="838"/>
      <w:r w:rsidRPr="00B32849">
        <w:t xml:space="preserve"> (KCP 7.1.7)</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8E0ED5" w:rsidRPr="00B32849" w:rsidRDefault="001730B3" w:rsidP="008E0ED5">
      <w:pPr>
        <w:pStyle w:val="RepStandard"/>
      </w:pPr>
      <w:r w:rsidRPr="001730B3">
        <w:t>Please refer to Part B6 Section A 2.</w:t>
      </w:r>
      <w:r w:rsidR="00A563E1">
        <w:t>8</w:t>
      </w:r>
      <w:r w:rsidRPr="001730B3">
        <w:t xml:space="preserve"> ‘</w:t>
      </w:r>
      <w:r w:rsidR="00A563E1" w:rsidRPr="00A563E1">
        <w:t>Supplementary studies for combinations of plant protection products (KCP 7.1.7)</w:t>
      </w:r>
      <w:r w:rsidRPr="001730B3">
        <w:t>’ of the Atlantis 12 OD re-registration report submitted by Bayer AG.</w:t>
      </w:r>
    </w:p>
    <w:p w:rsidR="00C81348" w:rsidRDefault="00C81348" w:rsidP="00D46D5F">
      <w:pPr>
        <w:pStyle w:val="RepAppendix2"/>
      </w:pPr>
      <w:bookmarkStart w:id="866" w:name="_Toc304462636"/>
      <w:bookmarkStart w:id="867" w:name="_Toc314067835"/>
      <w:bookmarkStart w:id="868" w:name="_Toc314122124"/>
      <w:bookmarkStart w:id="869" w:name="_Toc314129293"/>
      <w:bookmarkStart w:id="870" w:name="_Toc314142409"/>
      <w:bookmarkStart w:id="871" w:name="_Toc314557422"/>
      <w:bookmarkStart w:id="872" w:name="_Toc314557680"/>
      <w:bookmarkStart w:id="873" w:name="_Toc328552278"/>
      <w:bookmarkStart w:id="874" w:name="_Toc332020627"/>
      <w:bookmarkStart w:id="875" w:name="_Toc332203471"/>
      <w:bookmarkStart w:id="876" w:name="_Toc332207024"/>
      <w:bookmarkStart w:id="877" w:name="_Toc332296192"/>
      <w:bookmarkStart w:id="878" w:name="_Toc336434759"/>
      <w:bookmarkStart w:id="879" w:name="_Toc397516911"/>
      <w:bookmarkStart w:id="880" w:name="_Toc398627885"/>
      <w:bookmarkStart w:id="881" w:name="_Toc399335746"/>
      <w:bookmarkStart w:id="882" w:name="_Toc399764881"/>
      <w:bookmarkStart w:id="883" w:name="_Toc412562678"/>
      <w:bookmarkStart w:id="884" w:name="_Toc412562755"/>
      <w:bookmarkStart w:id="885" w:name="_Toc413662747"/>
      <w:bookmarkStart w:id="886" w:name="_Toc413673604"/>
      <w:bookmarkStart w:id="887" w:name="_Toc413673702"/>
      <w:bookmarkStart w:id="888" w:name="_Toc413673773"/>
      <w:bookmarkStart w:id="889" w:name="_Toc413928672"/>
      <w:bookmarkStart w:id="890" w:name="_Toc413936286"/>
      <w:bookmarkStart w:id="891" w:name="_Toc413937997"/>
      <w:bookmarkStart w:id="892" w:name="_Toc414026724"/>
      <w:bookmarkStart w:id="893" w:name="_Toc414974103"/>
      <w:bookmarkStart w:id="894" w:name="_Toc450900977"/>
      <w:bookmarkStart w:id="895" w:name="_Toc450920643"/>
      <w:bookmarkStart w:id="896" w:name="_Toc450923764"/>
      <w:bookmarkStart w:id="897" w:name="_Toc454460997"/>
      <w:bookmarkStart w:id="898" w:name="_Toc454462833"/>
      <w:bookmarkStart w:id="899" w:name="_Toc179811319"/>
      <w:r w:rsidRPr="00B32849">
        <w:t>Data on co-formulants</w:t>
      </w:r>
      <w:bookmarkEnd w:id="866"/>
      <w:bookmarkEnd w:id="867"/>
      <w:bookmarkEnd w:id="868"/>
      <w:bookmarkEnd w:id="869"/>
      <w:bookmarkEnd w:id="870"/>
      <w:bookmarkEnd w:id="871"/>
      <w:bookmarkEnd w:id="872"/>
      <w:r w:rsidRPr="00B32849">
        <w:t xml:space="preserve"> (KCP 7.4)</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Pr="00B32849">
        <w:t xml:space="preserve"> </w:t>
      </w:r>
    </w:p>
    <w:p w:rsidR="00AA3064" w:rsidRPr="00AA3064" w:rsidRDefault="00E524B0" w:rsidP="00AA3064">
      <w:pPr>
        <w:pStyle w:val="RepStandard"/>
      </w:pPr>
      <w:r w:rsidRPr="00E524B0">
        <w:t>Please refer to Part B6 Section A 2.</w:t>
      </w:r>
      <w:r>
        <w:t>9</w:t>
      </w:r>
      <w:r w:rsidRPr="00E524B0">
        <w:t xml:space="preserve"> ‘Data on co-formulants (KCP 7.4)’ of the Atlantis 12 OD re-registration report submitted by Bayer AG</w:t>
      </w:r>
      <w:r>
        <w:t>.</w:t>
      </w:r>
    </w:p>
    <w:p w:rsidR="00C81348" w:rsidRPr="00B32849" w:rsidRDefault="00C81348" w:rsidP="00D46D5F">
      <w:pPr>
        <w:pStyle w:val="RepAppendix2"/>
      </w:pPr>
      <w:bookmarkStart w:id="900" w:name="_Toc300147942"/>
      <w:bookmarkStart w:id="901" w:name="_Toc304462638"/>
      <w:bookmarkStart w:id="902" w:name="_Toc314067838"/>
      <w:bookmarkStart w:id="903" w:name="_Toc314122125"/>
      <w:bookmarkStart w:id="904" w:name="_Toc314129296"/>
      <w:bookmarkStart w:id="905" w:name="_Toc314142410"/>
      <w:bookmarkStart w:id="906" w:name="_Toc314557425"/>
      <w:bookmarkStart w:id="907" w:name="_Toc314557683"/>
      <w:bookmarkStart w:id="908" w:name="_Toc328552281"/>
      <w:bookmarkStart w:id="909" w:name="_Toc332020630"/>
      <w:bookmarkStart w:id="910" w:name="_Toc332203474"/>
      <w:bookmarkStart w:id="911" w:name="_Toc332207027"/>
      <w:bookmarkStart w:id="912" w:name="_Toc332296195"/>
      <w:bookmarkStart w:id="913" w:name="_Toc336434762"/>
      <w:bookmarkStart w:id="914" w:name="_Toc397516914"/>
      <w:bookmarkStart w:id="915" w:name="_Toc398627886"/>
      <w:bookmarkStart w:id="916" w:name="_Toc399335749"/>
      <w:bookmarkStart w:id="917" w:name="_Toc399764882"/>
      <w:bookmarkStart w:id="918" w:name="_Toc412562681"/>
      <w:bookmarkStart w:id="919" w:name="_Toc412562758"/>
      <w:bookmarkStart w:id="920" w:name="_Toc413662750"/>
      <w:bookmarkStart w:id="921" w:name="_Toc413673607"/>
      <w:bookmarkStart w:id="922" w:name="_Toc413673705"/>
      <w:bookmarkStart w:id="923" w:name="_Toc413673776"/>
      <w:bookmarkStart w:id="924" w:name="_Toc413928675"/>
      <w:bookmarkStart w:id="925" w:name="_Toc413936289"/>
      <w:bookmarkStart w:id="926" w:name="_Toc413938000"/>
      <w:bookmarkStart w:id="927" w:name="_Toc414026727"/>
      <w:bookmarkStart w:id="928" w:name="_Ref414444204"/>
      <w:bookmarkStart w:id="929" w:name="_Toc414974106"/>
      <w:bookmarkStart w:id="930" w:name="_Toc450900980"/>
      <w:bookmarkStart w:id="931" w:name="_Toc450920646"/>
      <w:bookmarkStart w:id="932" w:name="_Toc450923767"/>
      <w:bookmarkStart w:id="933" w:name="_Toc454461000"/>
      <w:bookmarkStart w:id="934" w:name="_Toc454462836"/>
      <w:bookmarkStart w:id="935" w:name="_Toc179811320"/>
      <w:r w:rsidRPr="00B32849">
        <w:t>Studies on dermal absorption</w:t>
      </w:r>
      <w:bookmarkEnd w:id="900"/>
      <w:bookmarkEnd w:id="901"/>
      <w:bookmarkEnd w:id="902"/>
      <w:bookmarkEnd w:id="903"/>
      <w:bookmarkEnd w:id="904"/>
      <w:bookmarkEnd w:id="905"/>
      <w:bookmarkEnd w:id="906"/>
      <w:bookmarkEnd w:id="907"/>
      <w:r w:rsidRPr="00B32849">
        <w:t xml:space="preserve"> (KCP 7.3)</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8E0ED5" w:rsidRPr="00B32849" w:rsidRDefault="00804418" w:rsidP="008E0ED5">
      <w:pPr>
        <w:pStyle w:val="RepStandard"/>
      </w:pPr>
      <w:r w:rsidRPr="00804418">
        <w:t>Please refer to Part B6 Section A 2.</w:t>
      </w:r>
      <w:r>
        <w:t>10</w:t>
      </w:r>
      <w:r w:rsidRPr="00804418">
        <w:t xml:space="preserve"> ‘Studies on dermal absorption (KCP 7.3)’ of the Atlantis 12 OD re-registration report submitted by Bayer AG.</w:t>
      </w:r>
    </w:p>
    <w:p w:rsidR="00C81348" w:rsidRDefault="00C81348" w:rsidP="00D46D5F">
      <w:pPr>
        <w:pStyle w:val="RepAppendix2"/>
      </w:pPr>
      <w:bookmarkStart w:id="936" w:name="_Toc111951416"/>
      <w:bookmarkStart w:id="937" w:name="_Toc240611824"/>
      <w:bookmarkStart w:id="938" w:name="_Toc300147943"/>
      <w:bookmarkStart w:id="939" w:name="_Toc304462639"/>
      <w:bookmarkStart w:id="940" w:name="_Toc314067839"/>
      <w:bookmarkStart w:id="941" w:name="_Toc314122126"/>
      <w:bookmarkStart w:id="942" w:name="_Toc314129297"/>
      <w:bookmarkStart w:id="943" w:name="_Toc314142411"/>
      <w:bookmarkStart w:id="944" w:name="_Toc314557426"/>
      <w:bookmarkStart w:id="945" w:name="_Toc314557684"/>
      <w:bookmarkStart w:id="946" w:name="_Toc328552282"/>
      <w:bookmarkStart w:id="947" w:name="_Toc332020631"/>
      <w:bookmarkStart w:id="948" w:name="_Toc332203475"/>
      <w:bookmarkStart w:id="949" w:name="_Toc332207028"/>
      <w:bookmarkStart w:id="950" w:name="_Toc332296196"/>
      <w:bookmarkStart w:id="951" w:name="_Toc336434763"/>
      <w:bookmarkStart w:id="952" w:name="_Toc397516915"/>
      <w:bookmarkStart w:id="953" w:name="_Toc398627887"/>
      <w:bookmarkStart w:id="954" w:name="_Toc399335750"/>
      <w:bookmarkStart w:id="955" w:name="_Toc399764883"/>
      <w:bookmarkStart w:id="956" w:name="_Toc412562682"/>
      <w:bookmarkStart w:id="957" w:name="_Toc412562759"/>
      <w:bookmarkStart w:id="958" w:name="_Toc413662751"/>
      <w:bookmarkStart w:id="959" w:name="_Toc413673608"/>
      <w:bookmarkStart w:id="960" w:name="_Toc413673706"/>
      <w:bookmarkStart w:id="961" w:name="_Toc413673777"/>
      <w:bookmarkStart w:id="962" w:name="_Toc413928676"/>
      <w:bookmarkStart w:id="963" w:name="_Toc413936290"/>
      <w:bookmarkStart w:id="964" w:name="_Toc413938001"/>
      <w:bookmarkStart w:id="965" w:name="_Toc414026728"/>
      <w:bookmarkStart w:id="966" w:name="_Ref414444025"/>
      <w:bookmarkStart w:id="967" w:name="_Toc414974107"/>
      <w:bookmarkStart w:id="968" w:name="_Toc450900981"/>
      <w:bookmarkStart w:id="969" w:name="_Toc450920647"/>
      <w:bookmarkStart w:id="970" w:name="_Toc450923768"/>
      <w:bookmarkStart w:id="971" w:name="_Toc454461002"/>
      <w:bookmarkStart w:id="972" w:name="_Toc454462838"/>
      <w:bookmarkStart w:id="973" w:name="_Toc179811321"/>
      <w:r w:rsidRPr="00B32849">
        <w:t>Other/Special Studies</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804418" w:rsidRPr="00804418" w:rsidRDefault="00804418" w:rsidP="00804418">
      <w:pPr>
        <w:pStyle w:val="RepStandard"/>
      </w:pPr>
      <w:bookmarkStart w:id="974" w:name="_Hlk121927466"/>
      <w:r w:rsidRPr="00804418">
        <w:t>Please refer to Part B6 Section A 2.1</w:t>
      </w:r>
      <w:r>
        <w:t>1</w:t>
      </w:r>
      <w:r w:rsidRPr="00804418">
        <w:t xml:space="preserve"> ‘Other/Special Studies’ of the Atlantis 12 OD re-registration report submitted by Bayer AG.</w:t>
      </w:r>
    </w:p>
    <w:p w:rsidR="00C81348" w:rsidRDefault="00C81348" w:rsidP="00804418">
      <w:pPr>
        <w:pStyle w:val="RepAppendix1"/>
        <w:pageBreakBefore/>
        <w:tabs>
          <w:tab w:val="clear" w:pos="1701"/>
        </w:tabs>
      </w:pPr>
      <w:bookmarkStart w:id="975" w:name="_Toc300147944"/>
      <w:bookmarkStart w:id="976" w:name="_Toc304462640"/>
      <w:bookmarkStart w:id="977" w:name="_Toc314067840"/>
      <w:bookmarkStart w:id="978" w:name="_Toc314122127"/>
      <w:bookmarkStart w:id="979" w:name="_Toc314129298"/>
      <w:bookmarkStart w:id="980" w:name="_Toc314142412"/>
      <w:bookmarkStart w:id="981" w:name="_Toc314557427"/>
      <w:bookmarkStart w:id="982" w:name="_Toc314557685"/>
      <w:bookmarkStart w:id="983" w:name="_Toc328552284"/>
      <w:bookmarkStart w:id="984" w:name="_Toc332020633"/>
      <w:bookmarkStart w:id="985" w:name="_Toc332203477"/>
      <w:bookmarkStart w:id="986" w:name="_Toc332207029"/>
      <w:bookmarkStart w:id="987" w:name="_Toc332296197"/>
      <w:bookmarkStart w:id="988" w:name="_Toc336434764"/>
      <w:bookmarkStart w:id="989" w:name="_Toc397516916"/>
      <w:bookmarkStart w:id="990" w:name="_Toc398627888"/>
      <w:bookmarkStart w:id="991" w:name="_Toc399335751"/>
      <w:bookmarkStart w:id="992" w:name="_Toc399764884"/>
      <w:bookmarkStart w:id="993" w:name="_Toc412562683"/>
      <w:bookmarkStart w:id="994" w:name="_Toc412562760"/>
      <w:bookmarkStart w:id="995" w:name="_Toc413662752"/>
      <w:bookmarkStart w:id="996" w:name="_Toc413673609"/>
      <w:bookmarkStart w:id="997" w:name="_Toc413673707"/>
      <w:bookmarkStart w:id="998" w:name="_Toc413673778"/>
      <w:bookmarkStart w:id="999" w:name="_Toc413928677"/>
      <w:bookmarkStart w:id="1000" w:name="_Toc413936291"/>
      <w:bookmarkStart w:id="1001" w:name="_Toc413938002"/>
      <w:bookmarkStart w:id="1002" w:name="_Toc414026729"/>
      <w:bookmarkStart w:id="1003" w:name="_Ref414444418"/>
      <w:bookmarkStart w:id="1004" w:name="_Toc414974108"/>
      <w:bookmarkStart w:id="1005" w:name="_Toc450900982"/>
      <w:bookmarkStart w:id="1006" w:name="_Toc450920648"/>
      <w:bookmarkStart w:id="1007" w:name="_Toc450923769"/>
      <w:bookmarkStart w:id="1008" w:name="_Toc454461003"/>
      <w:bookmarkStart w:id="1009" w:name="_Toc454462839"/>
      <w:bookmarkStart w:id="1010" w:name="_Toc179811322"/>
      <w:bookmarkEnd w:id="974"/>
      <w:r w:rsidRPr="00B32849">
        <w:lastRenderedPageBreak/>
        <w:t>Exposure calculations</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r w:rsidRPr="00B32849">
        <w:t xml:space="preserve"> </w:t>
      </w:r>
    </w:p>
    <w:p w:rsidR="00C81348" w:rsidRPr="00FE3B80" w:rsidRDefault="00C81348" w:rsidP="00FE3B80">
      <w:bookmarkStart w:id="1011" w:name="_Toc300147945"/>
    </w:p>
    <w:tbl>
      <w:tblPr>
        <w:tblStyle w:val="Tabela-Siatka"/>
        <w:tblW w:w="0" w:type="auto"/>
        <w:tblLook w:val="04A0"/>
      </w:tblPr>
      <w:tblGrid>
        <w:gridCol w:w="710"/>
        <w:gridCol w:w="1512"/>
        <w:gridCol w:w="5614"/>
        <w:gridCol w:w="1738"/>
      </w:tblGrid>
      <w:tr w:rsidR="00FE3B80" w:rsidRPr="00FE3B80" w:rsidTr="00064466">
        <w:tc>
          <w:tcPr>
            <w:tcW w:w="846" w:type="dxa"/>
          </w:tcPr>
          <w:p w:rsidR="00FE3B80" w:rsidRPr="00FE3B80" w:rsidRDefault="00FE3B80" w:rsidP="00FE3B80">
            <w:pPr>
              <w:pStyle w:val="RepStandard"/>
              <w:rPr>
                <w:b/>
                <w:bCs/>
                <w:lang w:val="en-US"/>
              </w:rPr>
            </w:pPr>
            <w:r w:rsidRPr="00FE3B80">
              <w:rPr>
                <w:b/>
                <w:bCs/>
                <w:lang w:val="en-US"/>
              </w:rPr>
              <w:t>Crop</w:t>
            </w:r>
          </w:p>
        </w:tc>
        <w:tc>
          <w:tcPr>
            <w:tcW w:w="1179" w:type="dxa"/>
          </w:tcPr>
          <w:p w:rsidR="00FE3B80" w:rsidRPr="00FE3B80" w:rsidRDefault="00FE3B80" w:rsidP="00FE3B80">
            <w:pPr>
              <w:pStyle w:val="RepStandard"/>
              <w:rPr>
                <w:b/>
                <w:bCs/>
                <w:lang w:val="en-US"/>
              </w:rPr>
            </w:pPr>
            <w:r w:rsidRPr="00FE3B80">
              <w:rPr>
                <w:b/>
                <w:bCs/>
                <w:lang w:val="en-US"/>
              </w:rPr>
              <w:t>Active substance assessment carried out</w:t>
            </w:r>
          </w:p>
        </w:tc>
        <w:tc>
          <w:tcPr>
            <w:tcW w:w="5751" w:type="dxa"/>
          </w:tcPr>
          <w:p w:rsidR="00FE3B80" w:rsidRPr="00FE3B80" w:rsidRDefault="00FE3B80" w:rsidP="00FE3B80">
            <w:pPr>
              <w:pStyle w:val="RepStandard"/>
              <w:rPr>
                <w:b/>
                <w:bCs/>
                <w:lang w:val="en-US"/>
              </w:rPr>
            </w:pPr>
            <w:r w:rsidRPr="00FE3B80">
              <w:rPr>
                <w:b/>
                <w:bCs/>
                <w:lang w:val="en-US"/>
              </w:rPr>
              <w:t>EFSA modelling file</w:t>
            </w:r>
          </w:p>
        </w:tc>
        <w:tc>
          <w:tcPr>
            <w:tcW w:w="1572" w:type="dxa"/>
          </w:tcPr>
          <w:p w:rsidR="00FE3B80" w:rsidRPr="00FE3B80" w:rsidRDefault="00FE3B80" w:rsidP="00FE3B80">
            <w:pPr>
              <w:pStyle w:val="RepStandard"/>
              <w:rPr>
                <w:b/>
                <w:bCs/>
                <w:lang w:val="en-US"/>
              </w:rPr>
            </w:pPr>
            <w:r w:rsidRPr="00FE3B80">
              <w:rPr>
                <w:b/>
                <w:bCs/>
                <w:lang w:val="en-US"/>
              </w:rPr>
              <w:t>Model Output</w:t>
            </w:r>
          </w:p>
        </w:tc>
      </w:tr>
      <w:tr w:rsidR="00FE3B80" w:rsidRPr="00FE3B80" w:rsidTr="00064466">
        <w:tc>
          <w:tcPr>
            <w:tcW w:w="846" w:type="dxa"/>
          </w:tcPr>
          <w:p w:rsidR="00FE3B80" w:rsidRPr="00FE3B80" w:rsidRDefault="00FE3B80" w:rsidP="00FE3B80">
            <w:pPr>
              <w:pStyle w:val="RepStandard"/>
              <w:rPr>
                <w:lang w:val="en-US"/>
              </w:rPr>
            </w:pPr>
            <w:r w:rsidRPr="00FE3B80">
              <w:rPr>
                <w:lang w:val="en-US"/>
              </w:rPr>
              <w:t xml:space="preserve">Field crop </w:t>
            </w:r>
          </w:p>
        </w:tc>
        <w:tc>
          <w:tcPr>
            <w:tcW w:w="1179" w:type="dxa"/>
          </w:tcPr>
          <w:p w:rsidR="00FE3B80" w:rsidRPr="00FE3B80" w:rsidRDefault="00FE3B80" w:rsidP="00FE3B80">
            <w:pPr>
              <w:pStyle w:val="RepStandard"/>
              <w:rPr>
                <w:lang w:val="en-US"/>
              </w:rPr>
            </w:pPr>
            <w:proofErr w:type="spellStart"/>
            <w:r w:rsidRPr="00FE3B80">
              <w:rPr>
                <w:lang w:val="en-US"/>
              </w:rPr>
              <w:t>Mesosulfuron</w:t>
            </w:r>
            <w:proofErr w:type="spellEnd"/>
            <w:r w:rsidRPr="00FE3B80">
              <w:rPr>
                <w:lang w:val="en-US"/>
              </w:rPr>
              <w:t xml:space="preserve">-methyl, </w:t>
            </w:r>
            <w:proofErr w:type="spellStart"/>
            <w:r w:rsidRPr="00FE3B80">
              <w:t>Iodosulfuron</w:t>
            </w:r>
            <w:proofErr w:type="spellEnd"/>
            <w:r w:rsidRPr="00FE3B80">
              <w:t>-methyl-sodium</w:t>
            </w:r>
            <w:r w:rsidRPr="00FE3B80">
              <w:rPr>
                <w:lang w:val="en-US"/>
              </w:rPr>
              <w:t xml:space="preserve">, </w:t>
            </w:r>
            <w:proofErr w:type="spellStart"/>
            <w:r w:rsidRPr="00FE3B80">
              <w:rPr>
                <w:bCs/>
                <w:lang w:val="en-US"/>
              </w:rPr>
              <w:t>Mefenpyr</w:t>
            </w:r>
            <w:proofErr w:type="spellEnd"/>
            <w:r w:rsidRPr="00FE3B80">
              <w:rPr>
                <w:bCs/>
                <w:lang w:val="en-US"/>
              </w:rPr>
              <w:t>-diethyl</w:t>
            </w:r>
          </w:p>
        </w:tc>
        <w:tc>
          <w:tcPr>
            <w:tcW w:w="5751" w:type="dxa"/>
          </w:tcPr>
          <w:p w:rsidR="00FE3B80" w:rsidRPr="00FE3B80" w:rsidRDefault="001D131F" w:rsidP="00FE3B80">
            <w:pPr>
              <w:pStyle w:val="RepStandard"/>
              <w:rPr>
                <w:lang w:val="en-US"/>
              </w:rPr>
            </w:pPr>
            <w:r w:rsidRPr="00BA6FD8">
              <w:rPr>
                <w:lang w:val="en-US"/>
              </w:rPr>
              <w:object w:dxaOrig="6045"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9.35pt;height:36pt" o:ole="">
                  <v:imagedata r:id="rId15" o:title=""/>
                </v:shape>
                <o:OLEObject Type="Embed" ProgID="Package" ShapeID="_x0000_i1029" DrawAspect="Content" ObjectID="_1813489334" r:id="rId16"/>
              </w:object>
            </w:r>
          </w:p>
        </w:tc>
        <w:bookmarkStart w:id="1012" w:name="_MON_1760855641"/>
        <w:bookmarkEnd w:id="1012"/>
        <w:tc>
          <w:tcPr>
            <w:tcW w:w="1572" w:type="dxa"/>
          </w:tcPr>
          <w:p w:rsidR="00FE3B80" w:rsidRPr="00FE3B80" w:rsidRDefault="00064466" w:rsidP="00FE3B80">
            <w:pPr>
              <w:pStyle w:val="RepStandard"/>
              <w:rPr>
                <w:lang w:val="en-US"/>
              </w:rPr>
            </w:pPr>
            <w:r w:rsidRPr="00BA6FD8">
              <w:rPr>
                <w:lang w:val="en-US"/>
              </w:rPr>
              <w:object w:dxaOrig="1520" w:dyaOrig="985">
                <v:shape id="_x0000_i1030" type="#_x0000_t75" style="width:76pt;height:49.35pt" o:ole="">
                  <v:imagedata r:id="rId17" o:title=""/>
                </v:shape>
                <o:OLEObject Type="Embed" ProgID="Word.Document.12" ShapeID="_x0000_i1030" DrawAspect="Icon" ObjectID="_1813489335" r:id="rId18">
                  <o:FieldCodes>\s</o:FieldCodes>
                </o:OLEObject>
              </w:object>
            </w:r>
          </w:p>
        </w:tc>
      </w:tr>
    </w:tbl>
    <w:p w:rsidR="00FE3B80" w:rsidRPr="00FE3B80" w:rsidRDefault="00FE3B80" w:rsidP="00FE3B80">
      <w:pPr>
        <w:pStyle w:val="RepStandard"/>
      </w:pPr>
    </w:p>
    <w:p w:rsidR="00C81348" w:rsidRPr="00B32849" w:rsidRDefault="00C81348" w:rsidP="0078221F">
      <w:pPr>
        <w:pStyle w:val="RepAppendix1"/>
      </w:pPr>
      <w:bookmarkStart w:id="1013" w:name="_Toc304462646"/>
      <w:bookmarkStart w:id="1014" w:name="_Toc314067846"/>
      <w:bookmarkStart w:id="1015" w:name="_Toc314122130"/>
      <w:bookmarkStart w:id="1016" w:name="_Toc314129304"/>
      <w:bookmarkStart w:id="1017" w:name="_Toc314142415"/>
      <w:bookmarkStart w:id="1018" w:name="_Toc314557433"/>
      <w:bookmarkStart w:id="1019" w:name="_Toc314557691"/>
      <w:bookmarkStart w:id="1020" w:name="_Toc328552291"/>
      <w:bookmarkStart w:id="1021" w:name="_Toc332020640"/>
      <w:bookmarkStart w:id="1022" w:name="_Toc332203488"/>
      <w:bookmarkStart w:id="1023" w:name="_Toc332207040"/>
      <w:bookmarkStart w:id="1024" w:name="_Toc332296208"/>
      <w:bookmarkStart w:id="1025" w:name="_Toc336434775"/>
      <w:bookmarkStart w:id="1026" w:name="_Toc397516927"/>
      <w:bookmarkStart w:id="1027" w:name="_Toc398627893"/>
      <w:bookmarkStart w:id="1028" w:name="_Toc399335762"/>
      <w:bookmarkStart w:id="1029" w:name="_Toc399764889"/>
      <w:bookmarkStart w:id="1030" w:name="_Toc412562694"/>
      <w:bookmarkStart w:id="1031" w:name="_Toc412562771"/>
      <w:bookmarkStart w:id="1032" w:name="_Toc413662763"/>
      <w:bookmarkStart w:id="1033" w:name="_Toc413673620"/>
      <w:bookmarkStart w:id="1034" w:name="_Toc413673718"/>
      <w:bookmarkStart w:id="1035" w:name="_Toc413673789"/>
      <w:bookmarkStart w:id="1036" w:name="_Toc413928688"/>
      <w:bookmarkStart w:id="1037" w:name="_Toc413936302"/>
      <w:bookmarkStart w:id="1038" w:name="_Toc413938013"/>
      <w:bookmarkStart w:id="1039" w:name="_Toc414026740"/>
      <w:bookmarkStart w:id="1040" w:name="_Ref414449295"/>
      <w:bookmarkStart w:id="1041" w:name="_Toc414974119"/>
      <w:bookmarkStart w:id="1042" w:name="_Toc450900993"/>
      <w:bookmarkStart w:id="1043" w:name="_Toc450920659"/>
      <w:bookmarkStart w:id="1044" w:name="_Toc450923780"/>
      <w:bookmarkStart w:id="1045" w:name="_Toc454461014"/>
      <w:bookmarkStart w:id="1046" w:name="_Toc454462850"/>
      <w:bookmarkStart w:id="1047" w:name="_Toc179811323"/>
      <w:bookmarkEnd w:id="1011"/>
      <w:r w:rsidRPr="00B32849">
        <w:t>Detailed evaluation of exposure and/or DFR studies relied upon</w:t>
      </w:r>
      <w:bookmarkEnd w:id="1013"/>
      <w:bookmarkEnd w:id="1014"/>
      <w:bookmarkEnd w:id="1015"/>
      <w:bookmarkEnd w:id="1016"/>
      <w:bookmarkEnd w:id="1017"/>
      <w:bookmarkEnd w:id="1018"/>
      <w:bookmarkEnd w:id="1019"/>
      <w:r w:rsidRPr="00B32849">
        <w:t xml:space="preserve"> (KCP 7.2, KCP 7.2.1.1, KCP 7.2.2.1, KCP 7.2.3.1)</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8E0ED5" w:rsidRPr="00B32849" w:rsidRDefault="008E0ED5" w:rsidP="00C7031B">
      <w:pPr>
        <w:pStyle w:val="RepStandard"/>
      </w:pPr>
    </w:p>
    <w:sectPr w:rsidR="008E0ED5" w:rsidRPr="00B32849"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ED8" w:rsidRDefault="00CE3ED8">
      <w:r>
        <w:separator/>
      </w:r>
    </w:p>
  </w:endnote>
  <w:endnote w:type="continuationSeparator" w:id="0">
    <w:p w:rsidR="00CE3ED8" w:rsidRDefault="00CE3ED8">
      <w:r>
        <w:continuationSeparator/>
      </w:r>
    </w:p>
  </w:endnote>
  <w:endnote w:type="continuationNotice" w:id="1">
    <w:p w:rsidR="00CE3ED8" w:rsidRDefault="00CE3ED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A" w:rsidRDefault="00772379" w:rsidP="00B32849">
    <w:pPr>
      <w:pStyle w:val="Stopka"/>
      <w:framePr w:wrap="around" w:vAnchor="text" w:hAnchor="margin" w:xAlign="right" w:y="1"/>
      <w:rPr>
        <w:rStyle w:val="Numerstrony"/>
      </w:rPr>
    </w:pPr>
    <w:r>
      <w:rPr>
        <w:rStyle w:val="Numerstrony"/>
      </w:rPr>
      <w:fldChar w:fldCharType="begin"/>
    </w:r>
    <w:r w:rsidR="00936FBA">
      <w:rPr>
        <w:rStyle w:val="Numerstrony"/>
      </w:rPr>
      <w:instrText xml:space="preserve">PAGE  </w:instrText>
    </w:r>
    <w:r>
      <w:rPr>
        <w:rStyle w:val="Numerstrony"/>
      </w:rPr>
      <w:fldChar w:fldCharType="separate"/>
    </w:r>
    <w:r w:rsidR="00936FBA">
      <w:rPr>
        <w:rStyle w:val="Numerstrony"/>
        <w:noProof/>
      </w:rPr>
      <w:t>49</w:t>
    </w:r>
    <w:r>
      <w:rPr>
        <w:rStyle w:val="Numerstrony"/>
      </w:rPr>
      <w:fldChar w:fldCharType="end"/>
    </w:r>
  </w:p>
  <w:p w:rsidR="00936FBA" w:rsidRDefault="00936FBA" w:rsidP="00832E3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ED8" w:rsidRDefault="00CE3ED8">
      <w:r>
        <w:separator/>
      </w:r>
    </w:p>
  </w:footnote>
  <w:footnote w:type="continuationSeparator" w:id="0">
    <w:p w:rsidR="00CE3ED8" w:rsidRDefault="00CE3ED8">
      <w:r>
        <w:continuationSeparator/>
      </w:r>
    </w:p>
  </w:footnote>
  <w:footnote w:type="continuationNotice" w:id="1">
    <w:p w:rsidR="00CE3ED8" w:rsidRDefault="00CE3ED8"/>
  </w:footnote>
  <w:footnote w:id="2">
    <w:p w:rsidR="00936FBA" w:rsidRDefault="00936FBA" w:rsidP="00444551">
      <w:pPr>
        <w:pStyle w:val="footnotedescription"/>
        <w:spacing w:line="244" w:lineRule="auto"/>
        <w:ind w:left="142" w:hanging="142"/>
      </w:pPr>
      <w:r>
        <w:rPr>
          <w:rStyle w:val="footnotemark"/>
        </w:rPr>
        <w:footnoteRef/>
      </w:r>
      <w:r>
        <w:t xml:space="preserve"> </w:t>
      </w:r>
      <w:r>
        <w:rPr>
          <w:sz w:val="20"/>
        </w:rPr>
        <w:t xml:space="preserve">Guidance Document for applicants on preparing dossiers for the approval of a chemical new active substance and for the renewal of approval of a chemical active substance according to Regulation (EU) No 283/2013 and Regulation (EU) No 284/2013. SANCO/10181/2013, May 2013 </w:t>
      </w:r>
    </w:p>
  </w:footnote>
  <w:footnote w:id="3">
    <w:p w:rsidR="00936FBA" w:rsidRDefault="00936FBA" w:rsidP="00444551">
      <w:pPr>
        <w:pStyle w:val="footnotedescription"/>
        <w:spacing w:line="265" w:lineRule="auto"/>
        <w:ind w:left="142" w:hanging="142"/>
      </w:pPr>
      <w:r>
        <w:rPr>
          <w:rStyle w:val="footnotemark"/>
        </w:rPr>
        <w:footnoteRef/>
      </w:r>
      <w:r>
        <w:t xml:space="preserve"> </w:t>
      </w:r>
      <w:r>
        <w:rPr>
          <w:sz w:val="20"/>
        </w:rPr>
        <w:t xml:space="preserve">Guidance on the assessment of exposure of operators, workers, residents and bystanders in risk assessment for plant protection </w:t>
      </w:r>
      <w:r w:rsidRPr="00C51E98">
        <w:rPr>
          <w:sz w:val="20"/>
        </w:rPr>
        <w:t xml:space="preserve">products. </w:t>
      </w:r>
      <w:r w:rsidRPr="00C51E98">
        <w:rPr>
          <w:sz w:val="20"/>
          <w:lang w:val="en-US"/>
        </w:rPr>
        <w:t xml:space="preserve">EFSA Journal </w:t>
      </w:r>
      <w:r w:rsidRPr="00C51E98">
        <w:rPr>
          <w:bCs/>
          <w:sz w:val="20"/>
          <w:lang w:val="en-GB"/>
        </w:rPr>
        <w:t>2022;20(1):7032</w:t>
      </w:r>
    </w:p>
  </w:footnote>
  <w:footnote w:id="4">
    <w:p w:rsidR="00936FBA" w:rsidRDefault="00936FBA" w:rsidP="00444551">
      <w:pPr>
        <w:pStyle w:val="footnotedescription"/>
        <w:spacing w:line="255" w:lineRule="auto"/>
        <w:ind w:left="142" w:hanging="142"/>
      </w:pPr>
      <w:r>
        <w:rPr>
          <w:rStyle w:val="footnotemark"/>
        </w:rPr>
        <w:footnoteRef/>
      </w:r>
      <w:r>
        <w:t xml:space="preserve"> </w:t>
      </w:r>
      <w:r>
        <w:rPr>
          <w:sz w:val="20"/>
        </w:rPr>
        <w:t xml:space="preserve">Guidance on the assessment of exposure of operators, workers, residents and bystanders in risk assessment for plant protection products. SANTE-10832-2015 </w:t>
      </w:r>
    </w:p>
  </w:footnote>
  <w:footnote w:id="5">
    <w:p w:rsidR="00936FBA" w:rsidRDefault="00936FBA" w:rsidP="00C51E98">
      <w:pPr>
        <w:pStyle w:val="footnotedescription"/>
        <w:spacing w:line="244" w:lineRule="auto"/>
        <w:ind w:left="142" w:hanging="142"/>
      </w:pPr>
      <w:r>
        <w:rPr>
          <w:rStyle w:val="footnotemark"/>
        </w:rPr>
        <w:footnoteRef/>
      </w:r>
      <w:r>
        <w:t xml:space="preserve"> </w:t>
      </w:r>
      <w:r>
        <w:rPr>
          <w:sz w:val="20"/>
        </w:rPr>
        <w:t xml:space="preserve">Guidance Document for applicants on preparing dossiers for the approval of a chemical new active substance and for the renewal of approval of a chemical active substance according to Regulation (EU) No 283/2013 and Regulation (EU) No 284/2013. SANCO/10181/2013, May 2013 </w:t>
      </w:r>
    </w:p>
  </w:footnote>
  <w:footnote w:id="6">
    <w:p w:rsidR="00936FBA" w:rsidRDefault="00936FBA" w:rsidP="00C51E98">
      <w:pPr>
        <w:pStyle w:val="footnotedescription"/>
        <w:ind w:left="142" w:hanging="142"/>
      </w:pPr>
      <w:r>
        <w:rPr>
          <w:rStyle w:val="footnotemark"/>
        </w:rPr>
        <w:footnoteRef/>
      </w:r>
      <w:r>
        <w:t xml:space="preserve"> </w:t>
      </w:r>
      <w:r>
        <w:rPr>
          <w:sz w:val="20"/>
        </w:rPr>
        <w:t>Guidance on the assessment of exposure of operators, workers, residents and bystanders in risk assessment for plant protection products</w:t>
      </w:r>
      <w:r w:rsidRPr="00C51E98">
        <w:rPr>
          <w:sz w:val="20"/>
        </w:rPr>
        <w:t xml:space="preserve">. </w:t>
      </w:r>
      <w:bookmarkStart w:id="459" w:name="_Hlk150240168"/>
      <w:r w:rsidRPr="00C51E98">
        <w:rPr>
          <w:color w:val="auto"/>
          <w:sz w:val="20"/>
        </w:rPr>
        <w:t xml:space="preserve">EFSA Journal </w:t>
      </w:r>
      <w:r w:rsidRPr="00C51E98">
        <w:rPr>
          <w:bCs/>
          <w:color w:val="auto"/>
          <w:sz w:val="20"/>
          <w:lang w:val="en-GB"/>
        </w:rPr>
        <w:t>2022;20(1):7032</w:t>
      </w:r>
      <w:bookmarkEnd w:id="459"/>
    </w:p>
  </w:footnote>
  <w:footnote w:id="7">
    <w:p w:rsidR="00936FBA" w:rsidRDefault="00936FBA" w:rsidP="00C51E98">
      <w:pPr>
        <w:pStyle w:val="footnotedescription"/>
        <w:spacing w:line="255" w:lineRule="auto"/>
        <w:ind w:left="142" w:hanging="142"/>
      </w:pPr>
      <w:r>
        <w:rPr>
          <w:rStyle w:val="footnotemark"/>
        </w:rPr>
        <w:footnoteRef/>
      </w:r>
      <w:r>
        <w:t xml:space="preserve"> </w:t>
      </w:r>
      <w:r>
        <w:rPr>
          <w:sz w:val="20"/>
        </w:rPr>
        <w:t xml:space="preserve">Guidance on the assessment of exposure of operators, workers, residents and bystanders in risk assessment for plant protection products. SANTE-10832-2015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A" w:rsidRPr="009C1370" w:rsidRDefault="00936FBA" w:rsidP="00166D15">
    <w:pPr>
      <w:framePr w:w="2473" w:wrap="auto" w:vAnchor="page" w:hAnchor="page" w:x="8276" w:y="679"/>
      <w:jc w:val="right"/>
      <w:rPr>
        <w:sz w:val="20"/>
        <w:szCs w:val="20"/>
        <w:lang w:val="en-GB"/>
      </w:rPr>
    </w:pPr>
    <w:r w:rsidRPr="009C1370">
      <w:rPr>
        <w:sz w:val="20"/>
        <w:szCs w:val="20"/>
        <w:lang w:val="en-GB"/>
      </w:rPr>
      <w:t xml:space="preserve">Page  </w:t>
    </w:r>
    <w:r w:rsidR="00772379" w:rsidRPr="00772379">
      <w:rPr>
        <w:sz w:val="20"/>
        <w:szCs w:val="20"/>
        <w:lang w:val="en-GB"/>
      </w:rPr>
      <w:fldChar w:fldCharType="begin"/>
    </w:r>
    <w:r w:rsidRPr="009C1370">
      <w:rPr>
        <w:sz w:val="20"/>
        <w:szCs w:val="20"/>
        <w:lang w:val="en-GB"/>
      </w:rPr>
      <w:instrText xml:space="preserve"> PAGE  \* Arabic </w:instrText>
    </w:r>
    <w:r w:rsidR="00772379" w:rsidRPr="00772379">
      <w:rPr>
        <w:sz w:val="20"/>
        <w:szCs w:val="20"/>
        <w:lang w:val="en-GB"/>
      </w:rPr>
      <w:fldChar w:fldCharType="separate"/>
    </w:r>
    <w:r w:rsidR="00FF3C47">
      <w:rPr>
        <w:noProof/>
        <w:sz w:val="20"/>
        <w:szCs w:val="20"/>
        <w:lang w:val="en-GB"/>
      </w:rPr>
      <w:t>23</w:t>
    </w:r>
    <w:r w:rsidR="00772379" w:rsidRPr="009C1370">
      <w:rPr>
        <w:sz w:val="20"/>
        <w:szCs w:val="20"/>
      </w:rPr>
      <w:fldChar w:fldCharType="end"/>
    </w:r>
    <w:r w:rsidRPr="009C1370">
      <w:rPr>
        <w:sz w:val="20"/>
        <w:szCs w:val="20"/>
        <w:lang w:val="en-GB"/>
      </w:rPr>
      <w:t xml:space="preserve"> /</w:t>
    </w:r>
    <w:r w:rsidR="00772379" w:rsidRPr="00772379">
      <w:rPr>
        <w:sz w:val="20"/>
        <w:szCs w:val="20"/>
        <w:lang w:val="en-GB"/>
      </w:rPr>
      <w:fldChar w:fldCharType="begin"/>
    </w:r>
    <w:r w:rsidRPr="009C1370">
      <w:rPr>
        <w:sz w:val="20"/>
        <w:szCs w:val="20"/>
        <w:lang w:val="en-GB"/>
      </w:rPr>
      <w:instrText xml:space="preserve"> NUMPAGES </w:instrText>
    </w:r>
    <w:r w:rsidR="00772379" w:rsidRPr="00772379">
      <w:rPr>
        <w:sz w:val="20"/>
        <w:szCs w:val="20"/>
        <w:lang w:val="en-GB"/>
      </w:rPr>
      <w:fldChar w:fldCharType="separate"/>
    </w:r>
    <w:r w:rsidR="00FF3C47">
      <w:rPr>
        <w:noProof/>
        <w:sz w:val="20"/>
        <w:szCs w:val="20"/>
        <w:lang w:val="en-GB"/>
      </w:rPr>
      <w:t>44</w:t>
    </w:r>
    <w:r w:rsidR="00772379" w:rsidRPr="009C1370">
      <w:rPr>
        <w:sz w:val="20"/>
        <w:szCs w:val="20"/>
      </w:rPr>
      <w:fldChar w:fldCharType="end"/>
    </w:r>
    <w:r w:rsidRPr="009C1370">
      <w:rPr>
        <w:sz w:val="20"/>
        <w:szCs w:val="20"/>
        <w:lang w:val="en-GB"/>
      </w:rPr>
      <w:br/>
    </w:r>
    <w:r w:rsidRPr="009C1370">
      <w:rPr>
        <w:sz w:val="20"/>
        <w:szCs w:val="20"/>
      </w:rPr>
      <w:t>Template for chemical PPP</w:t>
    </w:r>
    <w:r w:rsidRPr="009C1370">
      <w:rPr>
        <w:sz w:val="20"/>
        <w:szCs w:val="20"/>
      </w:rPr>
      <w:br/>
    </w:r>
    <w:r w:rsidRPr="005B6572">
      <w:rPr>
        <w:sz w:val="20"/>
        <w:szCs w:val="20"/>
        <w:highlight w:val="yellow"/>
      </w:rPr>
      <w:t>November 2023</w:t>
    </w:r>
  </w:p>
  <w:p w:rsidR="00936FBA" w:rsidRPr="009C1370" w:rsidRDefault="00936FBA" w:rsidP="00956271">
    <w:pPr>
      <w:rPr>
        <w:sz w:val="20"/>
        <w:szCs w:val="20"/>
      </w:rPr>
    </w:pPr>
    <w:r w:rsidRPr="009C1370">
      <w:rPr>
        <w:sz w:val="20"/>
        <w:szCs w:val="20"/>
      </w:rPr>
      <w:t xml:space="preserve">054-01-05 / </w:t>
    </w:r>
    <w:proofErr w:type="spellStart"/>
    <w:r w:rsidRPr="009C1370">
      <w:rPr>
        <w:sz w:val="20"/>
        <w:szCs w:val="20"/>
      </w:rPr>
      <w:t>Meso-Iodo</w:t>
    </w:r>
    <w:proofErr w:type="spellEnd"/>
    <w:r w:rsidRPr="009C1370">
      <w:rPr>
        <w:sz w:val="20"/>
        <w:szCs w:val="20"/>
      </w:rPr>
      <w:t xml:space="preserve"> OD-Life                                               </w:t>
    </w:r>
  </w:p>
  <w:p w:rsidR="00936FBA" w:rsidRPr="009C1370" w:rsidRDefault="00936FBA" w:rsidP="00956271">
    <w:pPr>
      <w:rPr>
        <w:sz w:val="20"/>
        <w:szCs w:val="20"/>
      </w:rPr>
    </w:pPr>
    <w:r w:rsidRPr="009C1370">
      <w:rPr>
        <w:sz w:val="20"/>
        <w:szCs w:val="20"/>
      </w:rPr>
      <w:t xml:space="preserve">Part B – Section 6 - Core Assessment </w:t>
    </w:r>
  </w:p>
  <w:p w:rsidR="00936FBA" w:rsidRDefault="00936FBA" w:rsidP="00956271">
    <w:pPr>
      <w:rPr>
        <w:sz w:val="20"/>
        <w:szCs w:val="20"/>
      </w:rPr>
    </w:pPr>
    <w:r w:rsidRPr="009C1370">
      <w:rPr>
        <w:sz w:val="20"/>
        <w:szCs w:val="20"/>
      </w:rPr>
      <w:t>Applicant version</w:t>
    </w:r>
  </w:p>
  <w:p w:rsidR="00936FBA" w:rsidRPr="009C1370" w:rsidRDefault="00772379" w:rsidP="00956271">
    <w:pPr>
      <w:rPr>
        <w:sz w:val="20"/>
        <w:szCs w:val="20"/>
      </w:rPr>
    </w:pPr>
    <w:r w:rsidRPr="00772379">
      <w:rPr>
        <w:noProof/>
        <w:sz w:val="20"/>
        <w:szCs w:val="20"/>
      </w:rPr>
      <w:pict>
        <v:line id="Łącznik prosty 3" o:spid="_x0000_s8193" style="position:absolute;flip:y;z-index:251659264;visibility:visible" from="-.35pt,2.8pt" to="469.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" strokecolor="black [3040]">
          <o:lock v:ext="edit" shapetype="f"/>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A" w:rsidRDefault="00772379" w:rsidP="00C81348">
    <w:pPr>
      <w:pStyle w:val="Nagwek"/>
      <w:rPr>
        <w:rStyle w:val="Numerstrony"/>
      </w:rPr>
    </w:pPr>
    <w:r>
      <w:rPr>
        <w:rStyle w:val="Numerstrony"/>
      </w:rPr>
      <w:fldChar w:fldCharType="begin"/>
    </w:r>
    <w:r w:rsidR="00936FBA">
      <w:rPr>
        <w:rStyle w:val="Numerstrony"/>
      </w:rPr>
      <w:instrText xml:space="preserve">PAGE  </w:instrText>
    </w:r>
    <w:r>
      <w:rPr>
        <w:rStyle w:val="Numerstrony"/>
      </w:rPr>
      <w:fldChar w:fldCharType="separate"/>
    </w:r>
    <w:r w:rsidR="00936FBA">
      <w:rPr>
        <w:rStyle w:val="Numerstrony"/>
        <w:noProof/>
      </w:rPr>
      <w:t>49</w:t>
    </w:r>
    <w:r>
      <w:rPr>
        <w:rStyle w:val="Numerstrony"/>
      </w:rPr>
      <w:fldChar w:fldCharType="end"/>
    </w:r>
  </w:p>
  <w:p w:rsidR="00936FBA" w:rsidRDefault="00936FBA" w:rsidP="00C81348">
    <w:pPr>
      <w:pStyle w:val="Nagwek"/>
    </w:pPr>
  </w:p>
  <w:p w:rsidR="00936FBA" w:rsidRDefault="00936FBA" w:rsidP="00C8134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A" w:rsidRDefault="00936FBA" w:rsidP="00C81348">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BA" w:rsidRPr="00956271" w:rsidRDefault="00936FBA" w:rsidP="009F7383">
    <w:pPr>
      <w:framePr w:w="2473" w:wrap="auto" w:vAnchor="page" w:hAnchor="page" w:x="13348" w:y="646"/>
      <w:jc w:val="right"/>
      <w:rPr>
        <w:lang w:val="en-GB"/>
      </w:rPr>
    </w:pPr>
    <w:r w:rsidRPr="00956271">
      <w:rPr>
        <w:lang w:val="en-GB"/>
      </w:rPr>
      <w:t xml:space="preserve">Page  </w:t>
    </w:r>
    <w:r w:rsidR="00772379" w:rsidRPr="00772379">
      <w:rPr>
        <w:lang w:val="en-GB"/>
      </w:rPr>
      <w:fldChar w:fldCharType="begin"/>
    </w:r>
    <w:r w:rsidRPr="00956271">
      <w:rPr>
        <w:lang w:val="en-GB"/>
      </w:rPr>
      <w:instrText xml:space="preserve"> PAGE  \* Arabic </w:instrText>
    </w:r>
    <w:r w:rsidR="00772379" w:rsidRPr="00772379">
      <w:rPr>
        <w:lang w:val="en-GB"/>
      </w:rPr>
      <w:fldChar w:fldCharType="separate"/>
    </w:r>
    <w:r w:rsidR="00FF3C47">
      <w:rPr>
        <w:noProof/>
        <w:lang w:val="en-GB"/>
      </w:rPr>
      <w:t>40</w:t>
    </w:r>
    <w:r w:rsidR="00772379" w:rsidRPr="00956271">
      <w:fldChar w:fldCharType="end"/>
    </w:r>
    <w:r w:rsidRPr="00956271">
      <w:rPr>
        <w:lang w:val="en-GB"/>
      </w:rPr>
      <w:t xml:space="preserve"> /</w:t>
    </w:r>
    <w:r w:rsidR="00772379" w:rsidRPr="00772379">
      <w:rPr>
        <w:lang w:val="en-GB"/>
      </w:rPr>
      <w:fldChar w:fldCharType="begin"/>
    </w:r>
    <w:r w:rsidRPr="00956271">
      <w:rPr>
        <w:lang w:val="en-GB"/>
      </w:rPr>
      <w:instrText xml:space="preserve"> NUMPAGES </w:instrText>
    </w:r>
    <w:r w:rsidR="00772379" w:rsidRPr="00772379">
      <w:rPr>
        <w:lang w:val="en-GB"/>
      </w:rPr>
      <w:fldChar w:fldCharType="separate"/>
    </w:r>
    <w:r w:rsidR="00FF3C47">
      <w:rPr>
        <w:noProof/>
        <w:lang w:val="en-GB"/>
      </w:rPr>
      <w:t>44</w:t>
    </w:r>
    <w:r w:rsidR="00772379" w:rsidRPr="00956271">
      <w:fldChar w:fldCharType="end"/>
    </w:r>
    <w:r w:rsidRPr="00956271">
      <w:rPr>
        <w:lang w:val="en-GB"/>
      </w:rPr>
      <w:br/>
    </w:r>
    <w:r w:rsidRPr="00956271">
      <w:t>Template for chemical PPP</w:t>
    </w:r>
    <w:r w:rsidRPr="00956271">
      <w:br/>
      <w:t>Version Q1 2023</w:t>
    </w:r>
  </w:p>
  <w:p w:rsidR="00936FBA" w:rsidRDefault="00936FBA" w:rsidP="00956271">
    <w:r>
      <w:t xml:space="preserve">054-01-05 / </w:t>
    </w:r>
    <w:proofErr w:type="spellStart"/>
    <w:r>
      <w:t>Meso-Iodo</w:t>
    </w:r>
    <w:proofErr w:type="spellEnd"/>
    <w:r>
      <w:t xml:space="preserve"> OD-Life                                               </w:t>
    </w:r>
  </w:p>
  <w:p w:rsidR="00936FBA" w:rsidRDefault="00936FBA" w:rsidP="00956271">
    <w:r>
      <w:t xml:space="preserve">Part B – Section 6 - Core Assessment </w:t>
    </w:r>
  </w:p>
  <w:p w:rsidR="00936FBA" w:rsidRPr="008D2FEC" w:rsidRDefault="00936FBA" w:rsidP="00956271">
    <w:r>
      <w:t>Applicant version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AEFC7D4E"/>
    <w:lvl w:ilvl="0">
      <w:start w:val="1"/>
      <w:numFmt w:val="decimal"/>
      <w:lvlText w:val="%1."/>
      <w:lvlJc w:val="left"/>
      <w:pPr>
        <w:tabs>
          <w:tab w:val="num" w:pos="926"/>
        </w:tabs>
        <w:ind w:left="926" w:hanging="360"/>
      </w:pPr>
    </w:lvl>
  </w:abstractNum>
  <w:abstractNum w:abstractNumId="1">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2">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3">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041411A1"/>
    <w:multiLevelType w:val="hybridMultilevel"/>
    <w:tmpl w:val="00E6CBCE"/>
    <w:lvl w:ilvl="0" w:tplc="333C0F86">
      <w:start w:val="1"/>
      <w:numFmt w:val="lowerLetter"/>
      <w:lvlText w:val="%1)"/>
      <w:lvlJc w:val="left"/>
      <w:pPr>
        <w:ind w:left="4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5BEC43A">
      <w:start w:val="1"/>
      <w:numFmt w:val="lowerLetter"/>
      <w:lvlText w:val="%2"/>
      <w:lvlJc w:val="left"/>
      <w:pPr>
        <w:ind w:left="14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3204E7E">
      <w:start w:val="1"/>
      <w:numFmt w:val="lowerRoman"/>
      <w:lvlText w:val="%3"/>
      <w:lvlJc w:val="left"/>
      <w:pPr>
        <w:ind w:left="221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2C0FA54">
      <w:start w:val="1"/>
      <w:numFmt w:val="decimal"/>
      <w:lvlText w:val="%4"/>
      <w:lvlJc w:val="left"/>
      <w:pPr>
        <w:ind w:left="293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EBEB3A4">
      <w:start w:val="1"/>
      <w:numFmt w:val="lowerLetter"/>
      <w:lvlText w:val="%5"/>
      <w:lvlJc w:val="left"/>
      <w:pPr>
        <w:ind w:left="365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B6440CA">
      <w:start w:val="1"/>
      <w:numFmt w:val="lowerRoman"/>
      <w:lvlText w:val="%6"/>
      <w:lvlJc w:val="left"/>
      <w:pPr>
        <w:ind w:left="437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166B40C">
      <w:start w:val="1"/>
      <w:numFmt w:val="decimal"/>
      <w:lvlText w:val="%7"/>
      <w:lvlJc w:val="left"/>
      <w:pPr>
        <w:ind w:left="50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2AA6788">
      <w:start w:val="1"/>
      <w:numFmt w:val="lowerLetter"/>
      <w:lvlText w:val="%8"/>
      <w:lvlJc w:val="left"/>
      <w:pPr>
        <w:ind w:left="581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588C34">
      <w:start w:val="1"/>
      <w:numFmt w:val="lowerRoman"/>
      <w:lvlText w:val="%9"/>
      <w:lvlJc w:val="left"/>
      <w:pPr>
        <w:ind w:left="653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0BE21AC3"/>
    <w:multiLevelType w:val="hybridMultilevel"/>
    <w:tmpl w:val="C640016E"/>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2">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nsid w:val="33102766"/>
    <w:multiLevelType w:val="hybridMultilevel"/>
    <w:tmpl w:val="51966A12"/>
    <w:lvl w:ilvl="0" w:tplc="AD8C83E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FCAB3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9E8A8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1CC25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465CC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303B9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010C34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96F3B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FEFEE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00B3371"/>
    <w:multiLevelType w:val="hybridMultilevel"/>
    <w:tmpl w:val="571E9B52"/>
    <w:lvl w:ilvl="0" w:tplc="42204E2C">
      <w:start w:val="1"/>
      <w:numFmt w:val="bullet"/>
      <w:lvlText w:val="•"/>
      <w:lvlJc w:val="left"/>
      <w:pPr>
        <w:ind w:left="5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38C6B98">
      <w:start w:val="1"/>
      <w:numFmt w:val="bullet"/>
      <w:lvlText w:val="o"/>
      <w:lvlJc w:val="left"/>
      <w:pPr>
        <w:ind w:left="136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2F48476E">
      <w:start w:val="1"/>
      <w:numFmt w:val="bullet"/>
      <w:lvlText w:val="▪"/>
      <w:lvlJc w:val="left"/>
      <w:pPr>
        <w:ind w:left="20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D10E9488">
      <w:start w:val="1"/>
      <w:numFmt w:val="bullet"/>
      <w:lvlText w:val="•"/>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78C1478">
      <w:start w:val="1"/>
      <w:numFmt w:val="bullet"/>
      <w:lvlText w:val="o"/>
      <w:lvlJc w:val="left"/>
      <w:pPr>
        <w:ind w:left="352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B3E883B8">
      <w:start w:val="1"/>
      <w:numFmt w:val="bullet"/>
      <w:lvlText w:val="▪"/>
      <w:lvlJc w:val="left"/>
      <w:pPr>
        <w:ind w:left="424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9FA05512">
      <w:start w:val="1"/>
      <w:numFmt w:val="bullet"/>
      <w:lvlText w:val="•"/>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8DAEBDA">
      <w:start w:val="1"/>
      <w:numFmt w:val="bullet"/>
      <w:lvlText w:val="o"/>
      <w:lvlJc w:val="left"/>
      <w:pPr>
        <w:ind w:left="56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B7C46E20">
      <w:start w:val="1"/>
      <w:numFmt w:val="bullet"/>
      <w:lvlText w:val="▪"/>
      <w:lvlJc w:val="left"/>
      <w:pPr>
        <w:ind w:left="640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2">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4DF35AD"/>
    <w:multiLevelType w:val="hybridMultilevel"/>
    <w:tmpl w:val="EB9C5DB2"/>
    <w:lvl w:ilvl="0" w:tplc="13F02D9C">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4AC75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9A35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CA16A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86F9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1CEA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F2A0B0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EC791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8A3D1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58D64DA0"/>
    <w:multiLevelType w:val="hybridMultilevel"/>
    <w:tmpl w:val="558C5E74"/>
    <w:lvl w:ilvl="0" w:tplc="0B5E90E2">
      <w:start w:val="1"/>
      <w:numFmt w:val="lowerLetter"/>
      <w:lvlText w:val="%1)"/>
      <w:lvlJc w:val="left"/>
      <w:pPr>
        <w:ind w:left="197"/>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A8E863E4">
      <w:start w:val="1"/>
      <w:numFmt w:val="lowerLetter"/>
      <w:lvlText w:val="%2"/>
      <w:lvlJc w:val="left"/>
      <w:pPr>
        <w:ind w:left="113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8924B532">
      <w:start w:val="1"/>
      <w:numFmt w:val="lowerRoman"/>
      <w:lvlText w:val="%3"/>
      <w:lvlJc w:val="left"/>
      <w:pPr>
        <w:ind w:left="185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C458EAD6">
      <w:start w:val="1"/>
      <w:numFmt w:val="decimal"/>
      <w:lvlText w:val="%4"/>
      <w:lvlJc w:val="left"/>
      <w:pPr>
        <w:ind w:left="257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B4F6CCE4">
      <w:start w:val="1"/>
      <w:numFmt w:val="lowerLetter"/>
      <w:lvlText w:val="%5"/>
      <w:lvlJc w:val="left"/>
      <w:pPr>
        <w:ind w:left="329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EBBC14D2">
      <w:start w:val="1"/>
      <w:numFmt w:val="lowerRoman"/>
      <w:lvlText w:val="%6"/>
      <w:lvlJc w:val="left"/>
      <w:pPr>
        <w:ind w:left="401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1E18C450">
      <w:start w:val="1"/>
      <w:numFmt w:val="decimal"/>
      <w:lvlText w:val="%7"/>
      <w:lvlJc w:val="left"/>
      <w:pPr>
        <w:ind w:left="473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CA9EC062">
      <w:start w:val="1"/>
      <w:numFmt w:val="lowerLetter"/>
      <w:lvlText w:val="%8"/>
      <w:lvlJc w:val="left"/>
      <w:pPr>
        <w:ind w:left="545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ECE6D958">
      <w:start w:val="1"/>
      <w:numFmt w:val="lowerRoman"/>
      <w:lvlText w:val="%9"/>
      <w:lvlJc w:val="left"/>
      <w:pPr>
        <w:ind w:left="617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32">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4">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1B74980"/>
    <w:multiLevelType w:val="hybridMultilevel"/>
    <w:tmpl w:val="CB76FF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7">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9">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3403"/>
        </w:tabs>
        <w:ind w:left="3403"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2"/>
  </w:num>
  <w:num w:numId="2">
    <w:abstractNumId w:val="1"/>
  </w:num>
  <w:num w:numId="3">
    <w:abstractNumId w:val="4"/>
  </w:num>
  <w:num w:numId="4">
    <w:abstractNumId w:val="3"/>
  </w:num>
  <w:num w:numId="5">
    <w:abstractNumId w:val="20"/>
  </w:num>
  <w:num w:numId="6">
    <w:abstractNumId w:val="10"/>
  </w:num>
  <w:num w:numId="7">
    <w:abstractNumId w:val="27"/>
  </w:num>
  <w:num w:numId="8">
    <w:abstractNumId w:val="38"/>
  </w:num>
  <w:num w:numId="9">
    <w:abstractNumId w:val="29"/>
  </w:num>
  <w:num w:numId="10">
    <w:abstractNumId w:val="22"/>
  </w:num>
  <w:num w:numId="11">
    <w:abstractNumId w:val="13"/>
  </w:num>
  <w:num w:numId="12">
    <w:abstractNumId w:val="39"/>
  </w:num>
  <w:num w:numId="13">
    <w:abstractNumId w:val="31"/>
  </w:num>
  <w:num w:numId="14">
    <w:abstractNumId w:val="5"/>
  </w:num>
  <w:num w:numId="15">
    <w:abstractNumId w:val="21"/>
  </w:num>
  <w:num w:numId="1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35"/>
  </w:num>
  <w:num w:numId="24">
    <w:abstractNumId w:val="7"/>
  </w:num>
  <w:num w:numId="25">
    <w:abstractNumId w:val="28"/>
  </w:num>
  <w:num w:numId="26">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stylePaneFormatFilter w:val="1F08"/>
  <w:defaultTabStop w:val="708"/>
  <w:hyphenationZone w:val="420"/>
  <w:drawingGridHorizontalSpacing w:val="171"/>
  <w:noPunctuationKerning/>
  <w:characterSpacingControl w:val="doNotCompress"/>
  <w:hdrShapeDefaults>
    <o:shapedefaults v:ext="edit" spidmax="12290"/>
    <o:shapelayout v:ext="edit">
      <o:idmap v:ext="edit" data="8"/>
    </o:shapelayout>
  </w:hdrShapeDefaults>
  <w:footnotePr>
    <w:footnote w:id="-1"/>
    <w:footnote w:id="0"/>
    <w:footnote w:id="1"/>
  </w:footnotePr>
  <w:endnotePr>
    <w:endnote w:id="-1"/>
    <w:endnote w:id="0"/>
    <w:endnote w:id="1"/>
  </w:endnotePr>
  <w:compat/>
  <w:rsids>
    <w:rsidRoot w:val="006F607F"/>
    <w:rsid w:val="000006C8"/>
    <w:rsid w:val="00000ECF"/>
    <w:rsid w:val="00003496"/>
    <w:rsid w:val="00004A86"/>
    <w:rsid w:val="000060B1"/>
    <w:rsid w:val="0000722F"/>
    <w:rsid w:val="0001403A"/>
    <w:rsid w:val="0001424F"/>
    <w:rsid w:val="00016A72"/>
    <w:rsid w:val="00017D24"/>
    <w:rsid w:val="000203C7"/>
    <w:rsid w:val="00021EA8"/>
    <w:rsid w:val="000233A7"/>
    <w:rsid w:val="000247DD"/>
    <w:rsid w:val="00025B66"/>
    <w:rsid w:val="000261AF"/>
    <w:rsid w:val="00026CF9"/>
    <w:rsid w:val="00027A00"/>
    <w:rsid w:val="00027D06"/>
    <w:rsid w:val="000305C1"/>
    <w:rsid w:val="0003152E"/>
    <w:rsid w:val="000318A3"/>
    <w:rsid w:val="00031AB1"/>
    <w:rsid w:val="000336AF"/>
    <w:rsid w:val="00034349"/>
    <w:rsid w:val="00034BD3"/>
    <w:rsid w:val="00034E90"/>
    <w:rsid w:val="00035291"/>
    <w:rsid w:val="000411E1"/>
    <w:rsid w:val="00044F72"/>
    <w:rsid w:val="00045ED7"/>
    <w:rsid w:val="0005153C"/>
    <w:rsid w:val="00054EEA"/>
    <w:rsid w:val="00064466"/>
    <w:rsid w:val="00066E4A"/>
    <w:rsid w:val="00073412"/>
    <w:rsid w:val="00076468"/>
    <w:rsid w:val="00076C6D"/>
    <w:rsid w:val="00077E06"/>
    <w:rsid w:val="00080640"/>
    <w:rsid w:val="00081A39"/>
    <w:rsid w:val="00085F1C"/>
    <w:rsid w:val="00087D1A"/>
    <w:rsid w:val="000945C7"/>
    <w:rsid w:val="0009492B"/>
    <w:rsid w:val="00094EF1"/>
    <w:rsid w:val="0009745E"/>
    <w:rsid w:val="000A1644"/>
    <w:rsid w:val="000A4BC8"/>
    <w:rsid w:val="000A6076"/>
    <w:rsid w:val="000A7AA7"/>
    <w:rsid w:val="000B5AE6"/>
    <w:rsid w:val="000C6C56"/>
    <w:rsid w:val="000D2332"/>
    <w:rsid w:val="000D569A"/>
    <w:rsid w:val="000D6F3C"/>
    <w:rsid w:val="000E2DD9"/>
    <w:rsid w:val="000E43CE"/>
    <w:rsid w:val="000E512C"/>
    <w:rsid w:val="000F03B2"/>
    <w:rsid w:val="000F12AD"/>
    <w:rsid w:val="000F21F8"/>
    <w:rsid w:val="000F3BDD"/>
    <w:rsid w:val="000F5D45"/>
    <w:rsid w:val="000F78F8"/>
    <w:rsid w:val="00104CB1"/>
    <w:rsid w:val="001062C4"/>
    <w:rsid w:val="00107278"/>
    <w:rsid w:val="00112972"/>
    <w:rsid w:val="00113343"/>
    <w:rsid w:val="001139B1"/>
    <w:rsid w:val="001147A0"/>
    <w:rsid w:val="0011610B"/>
    <w:rsid w:val="00116140"/>
    <w:rsid w:val="00116CEC"/>
    <w:rsid w:val="00117876"/>
    <w:rsid w:val="0012059F"/>
    <w:rsid w:val="0012195F"/>
    <w:rsid w:val="0012666F"/>
    <w:rsid w:val="00127097"/>
    <w:rsid w:val="00130228"/>
    <w:rsid w:val="0013154F"/>
    <w:rsid w:val="001420C4"/>
    <w:rsid w:val="00144FAD"/>
    <w:rsid w:val="00150A3C"/>
    <w:rsid w:val="001534CD"/>
    <w:rsid w:val="001540EF"/>
    <w:rsid w:val="00155C9A"/>
    <w:rsid w:val="00157CDD"/>
    <w:rsid w:val="00160D84"/>
    <w:rsid w:val="00161C7D"/>
    <w:rsid w:val="00165B1C"/>
    <w:rsid w:val="001663F1"/>
    <w:rsid w:val="00166D15"/>
    <w:rsid w:val="00167A6C"/>
    <w:rsid w:val="001730B3"/>
    <w:rsid w:val="0017375B"/>
    <w:rsid w:val="00182CB0"/>
    <w:rsid w:val="001837A3"/>
    <w:rsid w:val="00185C14"/>
    <w:rsid w:val="00187196"/>
    <w:rsid w:val="00187EE6"/>
    <w:rsid w:val="00195673"/>
    <w:rsid w:val="00195EDC"/>
    <w:rsid w:val="00197672"/>
    <w:rsid w:val="00197DE0"/>
    <w:rsid w:val="001A0DE3"/>
    <w:rsid w:val="001A4B5B"/>
    <w:rsid w:val="001A528E"/>
    <w:rsid w:val="001A5857"/>
    <w:rsid w:val="001A6614"/>
    <w:rsid w:val="001B4D45"/>
    <w:rsid w:val="001B7AAD"/>
    <w:rsid w:val="001C0D8F"/>
    <w:rsid w:val="001C14AC"/>
    <w:rsid w:val="001C40AC"/>
    <w:rsid w:val="001D0691"/>
    <w:rsid w:val="001D1027"/>
    <w:rsid w:val="001D131F"/>
    <w:rsid w:val="001D18EB"/>
    <w:rsid w:val="001D5F7C"/>
    <w:rsid w:val="001D7ABD"/>
    <w:rsid w:val="001D7B23"/>
    <w:rsid w:val="001E050D"/>
    <w:rsid w:val="001E753C"/>
    <w:rsid w:val="001E7E3B"/>
    <w:rsid w:val="001F20EF"/>
    <w:rsid w:val="001F477E"/>
    <w:rsid w:val="001F64A0"/>
    <w:rsid w:val="001F75A7"/>
    <w:rsid w:val="00204BCD"/>
    <w:rsid w:val="00205195"/>
    <w:rsid w:val="00205B16"/>
    <w:rsid w:val="002107F9"/>
    <w:rsid w:val="00210D6C"/>
    <w:rsid w:val="00211997"/>
    <w:rsid w:val="00211BBD"/>
    <w:rsid w:val="002121BC"/>
    <w:rsid w:val="002135FA"/>
    <w:rsid w:val="00215039"/>
    <w:rsid w:val="002165B4"/>
    <w:rsid w:val="00217B1C"/>
    <w:rsid w:val="00220DF8"/>
    <w:rsid w:val="002210BE"/>
    <w:rsid w:val="00221806"/>
    <w:rsid w:val="00221A24"/>
    <w:rsid w:val="002250F6"/>
    <w:rsid w:val="002300C0"/>
    <w:rsid w:val="00235041"/>
    <w:rsid w:val="002417EB"/>
    <w:rsid w:val="002436A6"/>
    <w:rsid w:val="002442E5"/>
    <w:rsid w:val="002465C7"/>
    <w:rsid w:val="0025056F"/>
    <w:rsid w:val="00250D7B"/>
    <w:rsid w:val="00254546"/>
    <w:rsid w:val="002551C5"/>
    <w:rsid w:val="00256909"/>
    <w:rsid w:val="00263264"/>
    <w:rsid w:val="0026439F"/>
    <w:rsid w:val="002649E0"/>
    <w:rsid w:val="002653DE"/>
    <w:rsid w:val="00266FA8"/>
    <w:rsid w:val="0026725E"/>
    <w:rsid w:val="00271C88"/>
    <w:rsid w:val="00273483"/>
    <w:rsid w:val="0027536C"/>
    <w:rsid w:val="00275A89"/>
    <w:rsid w:val="00276141"/>
    <w:rsid w:val="00276B11"/>
    <w:rsid w:val="00281A8A"/>
    <w:rsid w:val="0028386D"/>
    <w:rsid w:val="002928C0"/>
    <w:rsid w:val="0029395C"/>
    <w:rsid w:val="00296966"/>
    <w:rsid w:val="002A27BF"/>
    <w:rsid w:val="002A43B8"/>
    <w:rsid w:val="002A468D"/>
    <w:rsid w:val="002A60FE"/>
    <w:rsid w:val="002A795A"/>
    <w:rsid w:val="002B7E25"/>
    <w:rsid w:val="002C2927"/>
    <w:rsid w:val="002C3679"/>
    <w:rsid w:val="002C7029"/>
    <w:rsid w:val="002D0BE7"/>
    <w:rsid w:val="002D243E"/>
    <w:rsid w:val="002D25EF"/>
    <w:rsid w:val="002D3C10"/>
    <w:rsid w:val="002D65D7"/>
    <w:rsid w:val="002E224E"/>
    <w:rsid w:val="002E2F5C"/>
    <w:rsid w:val="002E56F6"/>
    <w:rsid w:val="002E66A7"/>
    <w:rsid w:val="002F29F4"/>
    <w:rsid w:val="002F42E9"/>
    <w:rsid w:val="002F44CD"/>
    <w:rsid w:val="003007F6"/>
    <w:rsid w:val="00300EF8"/>
    <w:rsid w:val="00301884"/>
    <w:rsid w:val="0030307A"/>
    <w:rsid w:val="00303AA9"/>
    <w:rsid w:val="003073B7"/>
    <w:rsid w:val="00307420"/>
    <w:rsid w:val="00310BDD"/>
    <w:rsid w:val="00313D7C"/>
    <w:rsid w:val="003147B1"/>
    <w:rsid w:val="00315FDA"/>
    <w:rsid w:val="00320A89"/>
    <w:rsid w:val="00320EAE"/>
    <w:rsid w:val="00321FA3"/>
    <w:rsid w:val="0032299D"/>
    <w:rsid w:val="00322F9C"/>
    <w:rsid w:val="00324731"/>
    <w:rsid w:val="0032503F"/>
    <w:rsid w:val="003250B4"/>
    <w:rsid w:val="003264F9"/>
    <w:rsid w:val="00332042"/>
    <w:rsid w:val="00333942"/>
    <w:rsid w:val="003361F7"/>
    <w:rsid w:val="00344A33"/>
    <w:rsid w:val="00344C58"/>
    <w:rsid w:val="00346B4D"/>
    <w:rsid w:val="00350EF5"/>
    <w:rsid w:val="00351BCE"/>
    <w:rsid w:val="00353735"/>
    <w:rsid w:val="00354A76"/>
    <w:rsid w:val="003626E9"/>
    <w:rsid w:val="0036270F"/>
    <w:rsid w:val="00364872"/>
    <w:rsid w:val="00366892"/>
    <w:rsid w:val="003674BF"/>
    <w:rsid w:val="003677CE"/>
    <w:rsid w:val="003717AD"/>
    <w:rsid w:val="0037304F"/>
    <w:rsid w:val="00373829"/>
    <w:rsid w:val="00373BDC"/>
    <w:rsid w:val="00374395"/>
    <w:rsid w:val="00374804"/>
    <w:rsid w:val="00377E46"/>
    <w:rsid w:val="0038185A"/>
    <w:rsid w:val="00382015"/>
    <w:rsid w:val="003845FF"/>
    <w:rsid w:val="003847C1"/>
    <w:rsid w:val="0038615E"/>
    <w:rsid w:val="00390160"/>
    <w:rsid w:val="00391FD7"/>
    <w:rsid w:val="00393B98"/>
    <w:rsid w:val="00394E57"/>
    <w:rsid w:val="00395DBA"/>
    <w:rsid w:val="003A4EC3"/>
    <w:rsid w:val="003A4EF4"/>
    <w:rsid w:val="003B0AFA"/>
    <w:rsid w:val="003B4360"/>
    <w:rsid w:val="003C0FF6"/>
    <w:rsid w:val="003C1D67"/>
    <w:rsid w:val="003C2AA0"/>
    <w:rsid w:val="003C605B"/>
    <w:rsid w:val="003C7672"/>
    <w:rsid w:val="003D1BAB"/>
    <w:rsid w:val="003D2F59"/>
    <w:rsid w:val="003D2FBE"/>
    <w:rsid w:val="003D55AC"/>
    <w:rsid w:val="003D5A42"/>
    <w:rsid w:val="003D6426"/>
    <w:rsid w:val="003D6500"/>
    <w:rsid w:val="003D70B7"/>
    <w:rsid w:val="003E0C41"/>
    <w:rsid w:val="003E1B01"/>
    <w:rsid w:val="003E2BBB"/>
    <w:rsid w:val="003E2D4E"/>
    <w:rsid w:val="003E4617"/>
    <w:rsid w:val="003F0272"/>
    <w:rsid w:val="00400A06"/>
    <w:rsid w:val="00402430"/>
    <w:rsid w:val="00403E1E"/>
    <w:rsid w:val="0040787F"/>
    <w:rsid w:val="00412202"/>
    <w:rsid w:val="00412991"/>
    <w:rsid w:val="004131DB"/>
    <w:rsid w:val="00423BC0"/>
    <w:rsid w:val="004307C4"/>
    <w:rsid w:val="00432BD7"/>
    <w:rsid w:val="00434324"/>
    <w:rsid w:val="00436699"/>
    <w:rsid w:val="00436EC7"/>
    <w:rsid w:val="004370D7"/>
    <w:rsid w:val="00442688"/>
    <w:rsid w:val="004428A3"/>
    <w:rsid w:val="00444551"/>
    <w:rsid w:val="004447F7"/>
    <w:rsid w:val="00445C30"/>
    <w:rsid w:val="00450F4B"/>
    <w:rsid w:val="0045210D"/>
    <w:rsid w:val="00457A66"/>
    <w:rsid w:val="0046191B"/>
    <w:rsid w:val="00463BD3"/>
    <w:rsid w:val="0046450E"/>
    <w:rsid w:val="00467200"/>
    <w:rsid w:val="00467D5A"/>
    <w:rsid w:val="00467FCA"/>
    <w:rsid w:val="00471348"/>
    <w:rsid w:val="00471EAF"/>
    <w:rsid w:val="004725B8"/>
    <w:rsid w:val="00472605"/>
    <w:rsid w:val="00473009"/>
    <w:rsid w:val="00473FB0"/>
    <w:rsid w:val="004750DE"/>
    <w:rsid w:val="00475B6F"/>
    <w:rsid w:val="00477148"/>
    <w:rsid w:val="0048018C"/>
    <w:rsid w:val="00480696"/>
    <w:rsid w:val="004819AA"/>
    <w:rsid w:val="00482196"/>
    <w:rsid w:val="0048403E"/>
    <w:rsid w:val="00484297"/>
    <w:rsid w:val="004843F9"/>
    <w:rsid w:val="0048449A"/>
    <w:rsid w:val="00486CC8"/>
    <w:rsid w:val="004919B3"/>
    <w:rsid w:val="00491AD1"/>
    <w:rsid w:val="00492900"/>
    <w:rsid w:val="0049527C"/>
    <w:rsid w:val="00495EC8"/>
    <w:rsid w:val="00495F42"/>
    <w:rsid w:val="004A1760"/>
    <w:rsid w:val="004A4059"/>
    <w:rsid w:val="004A4D52"/>
    <w:rsid w:val="004A61D6"/>
    <w:rsid w:val="004A69FE"/>
    <w:rsid w:val="004A6C18"/>
    <w:rsid w:val="004B0055"/>
    <w:rsid w:val="004B4C27"/>
    <w:rsid w:val="004B744C"/>
    <w:rsid w:val="004C1A04"/>
    <w:rsid w:val="004C2B7C"/>
    <w:rsid w:val="004C321B"/>
    <w:rsid w:val="004C3643"/>
    <w:rsid w:val="004C4C7A"/>
    <w:rsid w:val="004C5398"/>
    <w:rsid w:val="004C7543"/>
    <w:rsid w:val="004C7A54"/>
    <w:rsid w:val="004D4223"/>
    <w:rsid w:val="004E00D4"/>
    <w:rsid w:val="004E2BBB"/>
    <w:rsid w:val="004E359C"/>
    <w:rsid w:val="004E3B1C"/>
    <w:rsid w:val="004E4E72"/>
    <w:rsid w:val="004E72A5"/>
    <w:rsid w:val="004E78E1"/>
    <w:rsid w:val="004F0347"/>
    <w:rsid w:val="004F1C98"/>
    <w:rsid w:val="004F3BA4"/>
    <w:rsid w:val="004F45E9"/>
    <w:rsid w:val="004F45EA"/>
    <w:rsid w:val="00503440"/>
    <w:rsid w:val="005078C3"/>
    <w:rsid w:val="00512F28"/>
    <w:rsid w:val="005163FD"/>
    <w:rsid w:val="00521CAE"/>
    <w:rsid w:val="005223B8"/>
    <w:rsid w:val="00522DDE"/>
    <w:rsid w:val="0052353C"/>
    <w:rsid w:val="00525CBF"/>
    <w:rsid w:val="00526E45"/>
    <w:rsid w:val="00530CCD"/>
    <w:rsid w:val="00530FF1"/>
    <w:rsid w:val="00533C83"/>
    <w:rsid w:val="005408DE"/>
    <w:rsid w:val="00545250"/>
    <w:rsid w:val="00552014"/>
    <w:rsid w:val="00552111"/>
    <w:rsid w:val="00553E3A"/>
    <w:rsid w:val="005607D6"/>
    <w:rsid w:val="005607E6"/>
    <w:rsid w:val="0056121C"/>
    <w:rsid w:val="0056166B"/>
    <w:rsid w:val="00561940"/>
    <w:rsid w:val="00562CCA"/>
    <w:rsid w:val="0056422A"/>
    <w:rsid w:val="00565359"/>
    <w:rsid w:val="0056643D"/>
    <w:rsid w:val="005704ED"/>
    <w:rsid w:val="00571158"/>
    <w:rsid w:val="0057265B"/>
    <w:rsid w:val="00573C9F"/>
    <w:rsid w:val="00575E6C"/>
    <w:rsid w:val="00575F34"/>
    <w:rsid w:val="00576EAD"/>
    <w:rsid w:val="00584DDE"/>
    <w:rsid w:val="00586B4A"/>
    <w:rsid w:val="00594F20"/>
    <w:rsid w:val="005A11DB"/>
    <w:rsid w:val="005A213A"/>
    <w:rsid w:val="005A396C"/>
    <w:rsid w:val="005B3195"/>
    <w:rsid w:val="005B3447"/>
    <w:rsid w:val="005B52E8"/>
    <w:rsid w:val="005B6572"/>
    <w:rsid w:val="005B6D1B"/>
    <w:rsid w:val="005C0D59"/>
    <w:rsid w:val="005C2B2D"/>
    <w:rsid w:val="005C6A77"/>
    <w:rsid w:val="005D0251"/>
    <w:rsid w:val="005D26F7"/>
    <w:rsid w:val="005D4587"/>
    <w:rsid w:val="005E4021"/>
    <w:rsid w:val="005E4E02"/>
    <w:rsid w:val="005E5376"/>
    <w:rsid w:val="005E6B90"/>
    <w:rsid w:val="005E7D14"/>
    <w:rsid w:val="006010E4"/>
    <w:rsid w:val="006026B3"/>
    <w:rsid w:val="00602CF0"/>
    <w:rsid w:val="00606396"/>
    <w:rsid w:val="00612E10"/>
    <w:rsid w:val="006242CD"/>
    <w:rsid w:val="006250F3"/>
    <w:rsid w:val="00626B8E"/>
    <w:rsid w:val="00633BB4"/>
    <w:rsid w:val="0063428D"/>
    <w:rsid w:val="00635A7D"/>
    <w:rsid w:val="00636385"/>
    <w:rsid w:val="00636FE1"/>
    <w:rsid w:val="0064229B"/>
    <w:rsid w:val="00645D5D"/>
    <w:rsid w:val="00647045"/>
    <w:rsid w:val="006478F7"/>
    <w:rsid w:val="00647A71"/>
    <w:rsid w:val="00647E0E"/>
    <w:rsid w:val="00650704"/>
    <w:rsid w:val="0065466E"/>
    <w:rsid w:val="006551F9"/>
    <w:rsid w:val="006556D3"/>
    <w:rsid w:val="00665AB2"/>
    <w:rsid w:val="00665F07"/>
    <w:rsid w:val="006701D3"/>
    <w:rsid w:val="00671211"/>
    <w:rsid w:val="00673073"/>
    <w:rsid w:val="0067543F"/>
    <w:rsid w:val="006778B3"/>
    <w:rsid w:val="00681583"/>
    <w:rsid w:val="00682967"/>
    <w:rsid w:val="00682E32"/>
    <w:rsid w:val="006835F1"/>
    <w:rsid w:val="00687F37"/>
    <w:rsid w:val="00687F99"/>
    <w:rsid w:val="00690698"/>
    <w:rsid w:val="006907F2"/>
    <w:rsid w:val="00692A52"/>
    <w:rsid w:val="0069431C"/>
    <w:rsid w:val="0069473E"/>
    <w:rsid w:val="00694A9A"/>
    <w:rsid w:val="00695AB2"/>
    <w:rsid w:val="006976DF"/>
    <w:rsid w:val="006A426A"/>
    <w:rsid w:val="006A490D"/>
    <w:rsid w:val="006A507E"/>
    <w:rsid w:val="006A5E81"/>
    <w:rsid w:val="006A77D5"/>
    <w:rsid w:val="006A7EC2"/>
    <w:rsid w:val="006B0722"/>
    <w:rsid w:val="006B204F"/>
    <w:rsid w:val="006B2B7C"/>
    <w:rsid w:val="006B33A1"/>
    <w:rsid w:val="006B3A36"/>
    <w:rsid w:val="006B550D"/>
    <w:rsid w:val="006C2B82"/>
    <w:rsid w:val="006C3C82"/>
    <w:rsid w:val="006C4E52"/>
    <w:rsid w:val="006D0503"/>
    <w:rsid w:val="006D1CB5"/>
    <w:rsid w:val="006D3B6A"/>
    <w:rsid w:val="006D4D84"/>
    <w:rsid w:val="006D53E4"/>
    <w:rsid w:val="006E39CA"/>
    <w:rsid w:val="006E6FF4"/>
    <w:rsid w:val="006E7235"/>
    <w:rsid w:val="006F0329"/>
    <w:rsid w:val="006F4FDD"/>
    <w:rsid w:val="006F607F"/>
    <w:rsid w:val="006F661F"/>
    <w:rsid w:val="007000DA"/>
    <w:rsid w:val="0070059B"/>
    <w:rsid w:val="00702802"/>
    <w:rsid w:val="007060D2"/>
    <w:rsid w:val="00706157"/>
    <w:rsid w:val="007062F3"/>
    <w:rsid w:val="00706737"/>
    <w:rsid w:val="00707364"/>
    <w:rsid w:val="007102DB"/>
    <w:rsid w:val="0071058D"/>
    <w:rsid w:val="00712260"/>
    <w:rsid w:val="00712FD9"/>
    <w:rsid w:val="007134FC"/>
    <w:rsid w:val="00714636"/>
    <w:rsid w:val="00714815"/>
    <w:rsid w:val="00717C61"/>
    <w:rsid w:val="00734570"/>
    <w:rsid w:val="00735D28"/>
    <w:rsid w:val="007475B8"/>
    <w:rsid w:val="00752142"/>
    <w:rsid w:val="007545B2"/>
    <w:rsid w:val="00756398"/>
    <w:rsid w:val="0075737D"/>
    <w:rsid w:val="007611F8"/>
    <w:rsid w:val="007626D5"/>
    <w:rsid w:val="00764971"/>
    <w:rsid w:val="00764B82"/>
    <w:rsid w:val="00764E6D"/>
    <w:rsid w:val="00770FD9"/>
    <w:rsid w:val="00772379"/>
    <w:rsid w:val="00772B05"/>
    <w:rsid w:val="00775A1E"/>
    <w:rsid w:val="007816FE"/>
    <w:rsid w:val="00781CE8"/>
    <w:rsid w:val="0078221F"/>
    <w:rsid w:val="0078623D"/>
    <w:rsid w:val="00786E40"/>
    <w:rsid w:val="007913B5"/>
    <w:rsid w:val="0079387A"/>
    <w:rsid w:val="00793AD0"/>
    <w:rsid w:val="00796652"/>
    <w:rsid w:val="007971F6"/>
    <w:rsid w:val="007A15A9"/>
    <w:rsid w:val="007A29A8"/>
    <w:rsid w:val="007A2C20"/>
    <w:rsid w:val="007A3FFB"/>
    <w:rsid w:val="007A5D1E"/>
    <w:rsid w:val="007A6C81"/>
    <w:rsid w:val="007B1F0C"/>
    <w:rsid w:val="007B2BB0"/>
    <w:rsid w:val="007C0A62"/>
    <w:rsid w:val="007C1AA1"/>
    <w:rsid w:val="007C32C4"/>
    <w:rsid w:val="007C43C8"/>
    <w:rsid w:val="007C4BEE"/>
    <w:rsid w:val="007C4D43"/>
    <w:rsid w:val="007C647B"/>
    <w:rsid w:val="007D0D54"/>
    <w:rsid w:val="007D14A4"/>
    <w:rsid w:val="007D1956"/>
    <w:rsid w:val="007D3058"/>
    <w:rsid w:val="007D4974"/>
    <w:rsid w:val="007D7911"/>
    <w:rsid w:val="007E2DB0"/>
    <w:rsid w:val="007E3405"/>
    <w:rsid w:val="007E3526"/>
    <w:rsid w:val="007E44FC"/>
    <w:rsid w:val="007E5835"/>
    <w:rsid w:val="007E5E5D"/>
    <w:rsid w:val="007F085C"/>
    <w:rsid w:val="007F408B"/>
    <w:rsid w:val="007F6EFF"/>
    <w:rsid w:val="00800506"/>
    <w:rsid w:val="00802DA5"/>
    <w:rsid w:val="00803220"/>
    <w:rsid w:val="00804418"/>
    <w:rsid w:val="00804FA9"/>
    <w:rsid w:val="008052BF"/>
    <w:rsid w:val="008106C3"/>
    <w:rsid w:val="00815361"/>
    <w:rsid w:val="008206D4"/>
    <w:rsid w:val="00821533"/>
    <w:rsid w:val="00823A50"/>
    <w:rsid w:val="008251E3"/>
    <w:rsid w:val="00825C1F"/>
    <w:rsid w:val="00826500"/>
    <w:rsid w:val="00830CD3"/>
    <w:rsid w:val="00832E39"/>
    <w:rsid w:val="008335BA"/>
    <w:rsid w:val="00834F7A"/>
    <w:rsid w:val="00836799"/>
    <w:rsid w:val="00837227"/>
    <w:rsid w:val="00837A22"/>
    <w:rsid w:val="008404CA"/>
    <w:rsid w:val="00842228"/>
    <w:rsid w:val="00845ABF"/>
    <w:rsid w:val="0085127C"/>
    <w:rsid w:val="00853EDC"/>
    <w:rsid w:val="00862912"/>
    <w:rsid w:val="00862C56"/>
    <w:rsid w:val="008650E1"/>
    <w:rsid w:val="00865F48"/>
    <w:rsid w:val="008725E2"/>
    <w:rsid w:val="00872727"/>
    <w:rsid w:val="00873718"/>
    <w:rsid w:val="008742EF"/>
    <w:rsid w:val="0087782D"/>
    <w:rsid w:val="00881213"/>
    <w:rsid w:val="00882BF5"/>
    <w:rsid w:val="008834A3"/>
    <w:rsid w:val="0088412C"/>
    <w:rsid w:val="00886D73"/>
    <w:rsid w:val="00890D82"/>
    <w:rsid w:val="008921A4"/>
    <w:rsid w:val="008A17D9"/>
    <w:rsid w:val="008A61A7"/>
    <w:rsid w:val="008B02EE"/>
    <w:rsid w:val="008B060A"/>
    <w:rsid w:val="008B2005"/>
    <w:rsid w:val="008B33DE"/>
    <w:rsid w:val="008B3519"/>
    <w:rsid w:val="008B42BB"/>
    <w:rsid w:val="008B5698"/>
    <w:rsid w:val="008B5BEC"/>
    <w:rsid w:val="008B6B61"/>
    <w:rsid w:val="008C1701"/>
    <w:rsid w:val="008C3F5C"/>
    <w:rsid w:val="008C6E52"/>
    <w:rsid w:val="008C73BD"/>
    <w:rsid w:val="008D0A4A"/>
    <w:rsid w:val="008D2FEC"/>
    <w:rsid w:val="008D6B20"/>
    <w:rsid w:val="008E0ED5"/>
    <w:rsid w:val="008E1BBB"/>
    <w:rsid w:val="008E2DCC"/>
    <w:rsid w:val="008E4A79"/>
    <w:rsid w:val="008E4F25"/>
    <w:rsid w:val="008E6DB1"/>
    <w:rsid w:val="008E7C79"/>
    <w:rsid w:val="008F3911"/>
    <w:rsid w:val="008F430F"/>
    <w:rsid w:val="008F5D41"/>
    <w:rsid w:val="008F7947"/>
    <w:rsid w:val="0090208C"/>
    <w:rsid w:val="00906BD9"/>
    <w:rsid w:val="0091006D"/>
    <w:rsid w:val="009105A9"/>
    <w:rsid w:val="00910938"/>
    <w:rsid w:val="00912083"/>
    <w:rsid w:val="00914190"/>
    <w:rsid w:val="009175F2"/>
    <w:rsid w:val="00921F13"/>
    <w:rsid w:val="00923CD1"/>
    <w:rsid w:val="00925A60"/>
    <w:rsid w:val="00930E7F"/>
    <w:rsid w:val="00936E35"/>
    <w:rsid w:val="00936FBA"/>
    <w:rsid w:val="009432F3"/>
    <w:rsid w:val="00946FBC"/>
    <w:rsid w:val="0095123A"/>
    <w:rsid w:val="0095211F"/>
    <w:rsid w:val="00952566"/>
    <w:rsid w:val="00956271"/>
    <w:rsid w:val="0095689A"/>
    <w:rsid w:val="009570FB"/>
    <w:rsid w:val="00961BA5"/>
    <w:rsid w:val="00963761"/>
    <w:rsid w:val="0097039D"/>
    <w:rsid w:val="0097131B"/>
    <w:rsid w:val="00973ABC"/>
    <w:rsid w:val="00975C78"/>
    <w:rsid w:val="00977C41"/>
    <w:rsid w:val="0098127A"/>
    <w:rsid w:val="00982B71"/>
    <w:rsid w:val="00985A42"/>
    <w:rsid w:val="00990869"/>
    <w:rsid w:val="009929E8"/>
    <w:rsid w:val="00997590"/>
    <w:rsid w:val="00997FF9"/>
    <w:rsid w:val="009A04C4"/>
    <w:rsid w:val="009A0BD6"/>
    <w:rsid w:val="009A1B5D"/>
    <w:rsid w:val="009A7F3C"/>
    <w:rsid w:val="009B22F7"/>
    <w:rsid w:val="009B6DC7"/>
    <w:rsid w:val="009C0252"/>
    <w:rsid w:val="009C1370"/>
    <w:rsid w:val="009C5621"/>
    <w:rsid w:val="009C5765"/>
    <w:rsid w:val="009D3D40"/>
    <w:rsid w:val="009D3ED4"/>
    <w:rsid w:val="009D5C15"/>
    <w:rsid w:val="009D6EF4"/>
    <w:rsid w:val="009D791B"/>
    <w:rsid w:val="009E092C"/>
    <w:rsid w:val="009E0A53"/>
    <w:rsid w:val="009E11A3"/>
    <w:rsid w:val="009E69D0"/>
    <w:rsid w:val="009E789B"/>
    <w:rsid w:val="009E790F"/>
    <w:rsid w:val="009E79F7"/>
    <w:rsid w:val="009F1EDC"/>
    <w:rsid w:val="009F321A"/>
    <w:rsid w:val="009F4F67"/>
    <w:rsid w:val="009F554F"/>
    <w:rsid w:val="009F679E"/>
    <w:rsid w:val="009F6C6D"/>
    <w:rsid w:val="009F7383"/>
    <w:rsid w:val="009F798F"/>
    <w:rsid w:val="00A069AB"/>
    <w:rsid w:val="00A10A2B"/>
    <w:rsid w:val="00A10E5F"/>
    <w:rsid w:val="00A11252"/>
    <w:rsid w:val="00A1768E"/>
    <w:rsid w:val="00A23ECB"/>
    <w:rsid w:val="00A241B7"/>
    <w:rsid w:val="00A244EE"/>
    <w:rsid w:val="00A25058"/>
    <w:rsid w:val="00A2602C"/>
    <w:rsid w:val="00A262D0"/>
    <w:rsid w:val="00A27237"/>
    <w:rsid w:val="00A27C86"/>
    <w:rsid w:val="00A32191"/>
    <w:rsid w:val="00A32742"/>
    <w:rsid w:val="00A3337F"/>
    <w:rsid w:val="00A37DE4"/>
    <w:rsid w:val="00A40C52"/>
    <w:rsid w:val="00A52ACD"/>
    <w:rsid w:val="00A52D9F"/>
    <w:rsid w:val="00A539D2"/>
    <w:rsid w:val="00A563E1"/>
    <w:rsid w:val="00A56D23"/>
    <w:rsid w:val="00A63258"/>
    <w:rsid w:val="00A65F7D"/>
    <w:rsid w:val="00A7105A"/>
    <w:rsid w:val="00A71653"/>
    <w:rsid w:val="00A74566"/>
    <w:rsid w:val="00A74B65"/>
    <w:rsid w:val="00A80710"/>
    <w:rsid w:val="00A80BFB"/>
    <w:rsid w:val="00A844AC"/>
    <w:rsid w:val="00A9042A"/>
    <w:rsid w:val="00A938DB"/>
    <w:rsid w:val="00A95A35"/>
    <w:rsid w:val="00A95A3E"/>
    <w:rsid w:val="00A97860"/>
    <w:rsid w:val="00AA1413"/>
    <w:rsid w:val="00AA162C"/>
    <w:rsid w:val="00AA3064"/>
    <w:rsid w:val="00AA3A13"/>
    <w:rsid w:val="00AA418C"/>
    <w:rsid w:val="00AA42B5"/>
    <w:rsid w:val="00AA7356"/>
    <w:rsid w:val="00AB15FF"/>
    <w:rsid w:val="00AB27BF"/>
    <w:rsid w:val="00AB36BD"/>
    <w:rsid w:val="00AB37BD"/>
    <w:rsid w:val="00AC3D5C"/>
    <w:rsid w:val="00AC654D"/>
    <w:rsid w:val="00AD0A3F"/>
    <w:rsid w:val="00AD1F8A"/>
    <w:rsid w:val="00AD425E"/>
    <w:rsid w:val="00AD4588"/>
    <w:rsid w:val="00AD45AB"/>
    <w:rsid w:val="00AD51C2"/>
    <w:rsid w:val="00AD644E"/>
    <w:rsid w:val="00AD6D6C"/>
    <w:rsid w:val="00AE1099"/>
    <w:rsid w:val="00AE5BBF"/>
    <w:rsid w:val="00AE6874"/>
    <w:rsid w:val="00AF2447"/>
    <w:rsid w:val="00AF36B7"/>
    <w:rsid w:val="00AF41CC"/>
    <w:rsid w:val="00AF4F75"/>
    <w:rsid w:val="00AF5C12"/>
    <w:rsid w:val="00B01271"/>
    <w:rsid w:val="00B040F0"/>
    <w:rsid w:val="00B0590D"/>
    <w:rsid w:val="00B05DC3"/>
    <w:rsid w:val="00B07137"/>
    <w:rsid w:val="00B102F7"/>
    <w:rsid w:val="00B10A9B"/>
    <w:rsid w:val="00B10C85"/>
    <w:rsid w:val="00B10DBB"/>
    <w:rsid w:val="00B144F8"/>
    <w:rsid w:val="00B14676"/>
    <w:rsid w:val="00B14979"/>
    <w:rsid w:val="00B15590"/>
    <w:rsid w:val="00B23881"/>
    <w:rsid w:val="00B2628F"/>
    <w:rsid w:val="00B27576"/>
    <w:rsid w:val="00B27CEC"/>
    <w:rsid w:val="00B27D39"/>
    <w:rsid w:val="00B32849"/>
    <w:rsid w:val="00B339D9"/>
    <w:rsid w:val="00B34506"/>
    <w:rsid w:val="00B369AC"/>
    <w:rsid w:val="00B36BB4"/>
    <w:rsid w:val="00B40C66"/>
    <w:rsid w:val="00B42F03"/>
    <w:rsid w:val="00B50E9B"/>
    <w:rsid w:val="00B50EE9"/>
    <w:rsid w:val="00B53F31"/>
    <w:rsid w:val="00B55385"/>
    <w:rsid w:val="00B55915"/>
    <w:rsid w:val="00B570F8"/>
    <w:rsid w:val="00B573ED"/>
    <w:rsid w:val="00B66B4B"/>
    <w:rsid w:val="00B74D4E"/>
    <w:rsid w:val="00B74F24"/>
    <w:rsid w:val="00B75869"/>
    <w:rsid w:val="00B763A5"/>
    <w:rsid w:val="00B766E8"/>
    <w:rsid w:val="00B7670B"/>
    <w:rsid w:val="00B80161"/>
    <w:rsid w:val="00B86A7B"/>
    <w:rsid w:val="00B90107"/>
    <w:rsid w:val="00B904C6"/>
    <w:rsid w:val="00B90605"/>
    <w:rsid w:val="00B9216D"/>
    <w:rsid w:val="00B93B22"/>
    <w:rsid w:val="00B95B21"/>
    <w:rsid w:val="00B96FED"/>
    <w:rsid w:val="00BA1C50"/>
    <w:rsid w:val="00BA33AD"/>
    <w:rsid w:val="00BA3905"/>
    <w:rsid w:val="00BA62E1"/>
    <w:rsid w:val="00BA6FD8"/>
    <w:rsid w:val="00BB37F6"/>
    <w:rsid w:val="00BB3B98"/>
    <w:rsid w:val="00BB71D6"/>
    <w:rsid w:val="00BB7644"/>
    <w:rsid w:val="00BB7EFB"/>
    <w:rsid w:val="00BC0503"/>
    <w:rsid w:val="00BC11DB"/>
    <w:rsid w:val="00BC280B"/>
    <w:rsid w:val="00BC3984"/>
    <w:rsid w:val="00BC5449"/>
    <w:rsid w:val="00BC5641"/>
    <w:rsid w:val="00BC71C0"/>
    <w:rsid w:val="00BC7A69"/>
    <w:rsid w:val="00BD4483"/>
    <w:rsid w:val="00BD66EF"/>
    <w:rsid w:val="00BD6FDC"/>
    <w:rsid w:val="00BE11AA"/>
    <w:rsid w:val="00BE29E2"/>
    <w:rsid w:val="00BE3DE3"/>
    <w:rsid w:val="00BE6489"/>
    <w:rsid w:val="00BF03F1"/>
    <w:rsid w:val="00BF1F3E"/>
    <w:rsid w:val="00BF55EB"/>
    <w:rsid w:val="00BF7E78"/>
    <w:rsid w:val="00C02787"/>
    <w:rsid w:val="00C04473"/>
    <w:rsid w:val="00C05569"/>
    <w:rsid w:val="00C0776E"/>
    <w:rsid w:val="00C07C99"/>
    <w:rsid w:val="00C10983"/>
    <w:rsid w:val="00C114F9"/>
    <w:rsid w:val="00C11FC2"/>
    <w:rsid w:val="00C12195"/>
    <w:rsid w:val="00C13CDA"/>
    <w:rsid w:val="00C1499C"/>
    <w:rsid w:val="00C15514"/>
    <w:rsid w:val="00C2492E"/>
    <w:rsid w:val="00C24DEF"/>
    <w:rsid w:val="00C26B33"/>
    <w:rsid w:val="00C27268"/>
    <w:rsid w:val="00C3126B"/>
    <w:rsid w:val="00C3534E"/>
    <w:rsid w:val="00C36B95"/>
    <w:rsid w:val="00C40D6A"/>
    <w:rsid w:val="00C41707"/>
    <w:rsid w:val="00C428C9"/>
    <w:rsid w:val="00C432C1"/>
    <w:rsid w:val="00C44572"/>
    <w:rsid w:val="00C4657D"/>
    <w:rsid w:val="00C51E98"/>
    <w:rsid w:val="00C54E46"/>
    <w:rsid w:val="00C61C5D"/>
    <w:rsid w:val="00C63936"/>
    <w:rsid w:val="00C6530B"/>
    <w:rsid w:val="00C67467"/>
    <w:rsid w:val="00C67810"/>
    <w:rsid w:val="00C7031B"/>
    <w:rsid w:val="00C748A6"/>
    <w:rsid w:val="00C81348"/>
    <w:rsid w:val="00C84AED"/>
    <w:rsid w:val="00C859B6"/>
    <w:rsid w:val="00C87689"/>
    <w:rsid w:val="00C87D54"/>
    <w:rsid w:val="00C90AE7"/>
    <w:rsid w:val="00C90BF4"/>
    <w:rsid w:val="00C91595"/>
    <w:rsid w:val="00C91885"/>
    <w:rsid w:val="00C9713D"/>
    <w:rsid w:val="00C9744D"/>
    <w:rsid w:val="00CA03AD"/>
    <w:rsid w:val="00CA643B"/>
    <w:rsid w:val="00CB0724"/>
    <w:rsid w:val="00CB0FAC"/>
    <w:rsid w:val="00CB1105"/>
    <w:rsid w:val="00CB57BB"/>
    <w:rsid w:val="00CC0A14"/>
    <w:rsid w:val="00CC0EA1"/>
    <w:rsid w:val="00CC26E8"/>
    <w:rsid w:val="00CC2C45"/>
    <w:rsid w:val="00CC4C42"/>
    <w:rsid w:val="00CC5BF0"/>
    <w:rsid w:val="00CD10FB"/>
    <w:rsid w:val="00CD1A57"/>
    <w:rsid w:val="00CD32BF"/>
    <w:rsid w:val="00CD5080"/>
    <w:rsid w:val="00CD6E48"/>
    <w:rsid w:val="00CE0B30"/>
    <w:rsid w:val="00CE1DEC"/>
    <w:rsid w:val="00CE3D41"/>
    <w:rsid w:val="00CE3ED8"/>
    <w:rsid w:val="00CE4CBC"/>
    <w:rsid w:val="00CE6C8B"/>
    <w:rsid w:val="00CF081F"/>
    <w:rsid w:val="00CF41F6"/>
    <w:rsid w:val="00D01BDF"/>
    <w:rsid w:val="00D036F3"/>
    <w:rsid w:val="00D13A3B"/>
    <w:rsid w:val="00D152B0"/>
    <w:rsid w:val="00D1565D"/>
    <w:rsid w:val="00D15807"/>
    <w:rsid w:val="00D20873"/>
    <w:rsid w:val="00D22112"/>
    <w:rsid w:val="00D22144"/>
    <w:rsid w:val="00D2340C"/>
    <w:rsid w:val="00D238D2"/>
    <w:rsid w:val="00D2527E"/>
    <w:rsid w:val="00D25689"/>
    <w:rsid w:val="00D2763C"/>
    <w:rsid w:val="00D30A3A"/>
    <w:rsid w:val="00D32BA7"/>
    <w:rsid w:val="00D374B3"/>
    <w:rsid w:val="00D430C4"/>
    <w:rsid w:val="00D452EC"/>
    <w:rsid w:val="00D4544D"/>
    <w:rsid w:val="00D46D5F"/>
    <w:rsid w:val="00D50237"/>
    <w:rsid w:val="00D51AA6"/>
    <w:rsid w:val="00D52166"/>
    <w:rsid w:val="00D54927"/>
    <w:rsid w:val="00D54A6F"/>
    <w:rsid w:val="00D57DA5"/>
    <w:rsid w:val="00D62C50"/>
    <w:rsid w:val="00D67F8A"/>
    <w:rsid w:val="00D80E54"/>
    <w:rsid w:val="00D824B9"/>
    <w:rsid w:val="00D93134"/>
    <w:rsid w:val="00DA6D18"/>
    <w:rsid w:val="00DB0448"/>
    <w:rsid w:val="00DB4BED"/>
    <w:rsid w:val="00DB588A"/>
    <w:rsid w:val="00DB6EDA"/>
    <w:rsid w:val="00DC0145"/>
    <w:rsid w:val="00DC2050"/>
    <w:rsid w:val="00DC3F30"/>
    <w:rsid w:val="00DC605A"/>
    <w:rsid w:val="00DC6973"/>
    <w:rsid w:val="00DD112E"/>
    <w:rsid w:val="00DD24DD"/>
    <w:rsid w:val="00DD4DB0"/>
    <w:rsid w:val="00DD505B"/>
    <w:rsid w:val="00DE38C5"/>
    <w:rsid w:val="00DE4138"/>
    <w:rsid w:val="00DE4222"/>
    <w:rsid w:val="00DE56BB"/>
    <w:rsid w:val="00DE772B"/>
    <w:rsid w:val="00DE789B"/>
    <w:rsid w:val="00DF147F"/>
    <w:rsid w:val="00DF182F"/>
    <w:rsid w:val="00DF31F0"/>
    <w:rsid w:val="00DF59B5"/>
    <w:rsid w:val="00DF7BD6"/>
    <w:rsid w:val="00E00866"/>
    <w:rsid w:val="00E0102D"/>
    <w:rsid w:val="00E0107B"/>
    <w:rsid w:val="00E0489E"/>
    <w:rsid w:val="00E05153"/>
    <w:rsid w:val="00E139E6"/>
    <w:rsid w:val="00E15589"/>
    <w:rsid w:val="00E20CA3"/>
    <w:rsid w:val="00E22248"/>
    <w:rsid w:val="00E223CB"/>
    <w:rsid w:val="00E23040"/>
    <w:rsid w:val="00E240F0"/>
    <w:rsid w:val="00E24483"/>
    <w:rsid w:val="00E24EAF"/>
    <w:rsid w:val="00E27178"/>
    <w:rsid w:val="00E32DD6"/>
    <w:rsid w:val="00E34566"/>
    <w:rsid w:val="00E35377"/>
    <w:rsid w:val="00E35AF4"/>
    <w:rsid w:val="00E40D64"/>
    <w:rsid w:val="00E41080"/>
    <w:rsid w:val="00E41491"/>
    <w:rsid w:val="00E436B4"/>
    <w:rsid w:val="00E43851"/>
    <w:rsid w:val="00E44D05"/>
    <w:rsid w:val="00E46807"/>
    <w:rsid w:val="00E47E0C"/>
    <w:rsid w:val="00E524B0"/>
    <w:rsid w:val="00E55CE1"/>
    <w:rsid w:val="00E60B2F"/>
    <w:rsid w:val="00E620BC"/>
    <w:rsid w:val="00E6260D"/>
    <w:rsid w:val="00E6483B"/>
    <w:rsid w:val="00E676B3"/>
    <w:rsid w:val="00E6787B"/>
    <w:rsid w:val="00E745D6"/>
    <w:rsid w:val="00E772FF"/>
    <w:rsid w:val="00E815A9"/>
    <w:rsid w:val="00E81CB0"/>
    <w:rsid w:val="00E82288"/>
    <w:rsid w:val="00E8284E"/>
    <w:rsid w:val="00E83340"/>
    <w:rsid w:val="00E83884"/>
    <w:rsid w:val="00E84BBA"/>
    <w:rsid w:val="00E9799C"/>
    <w:rsid w:val="00EA76B3"/>
    <w:rsid w:val="00EB0DF6"/>
    <w:rsid w:val="00EB2A72"/>
    <w:rsid w:val="00EB2AE3"/>
    <w:rsid w:val="00EB50A4"/>
    <w:rsid w:val="00EB6096"/>
    <w:rsid w:val="00EC2B2C"/>
    <w:rsid w:val="00EC373C"/>
    <w:rsid w:val="00EC48EC"/>
    <w:rsid w:val="00EC59A0"/>
    <w:rsid w:val="00EC7F0B"/>
    <w:rsid w:val="00ED3E70"/>
    <w:rsid w:val="00ED5BC1"/>
    <w:rsid w:val="00ED6581"/>
    <w:rsid w:val="00ED69BE"/>
    <w:rsid w:val="00ED7755"/>
    <w:rsid w:val="00EE3AA7"/>
    <w:rsid w:val="00EE53A2"/>
    <w:rsid w:val="00EE5E97"/>
    <w:rsid w:val="00EE6463"/>
    <w:rsid w:val="00EE68A7"/>
    <w:rsid w:val="00EF3F81"/>
    <w:rsid w:val="00F03BFB"/>
    <w:rsid w:val="00F05852"/>
    <w:rsid w:val="00F075A9"/>
    <w:rsid w:val="00F13D52"/>
    <w:rsid w:val="00F154D1"/>
    <w:rsid w:val="00F15942"/>
    <w:rsid w:val="00F16C12"/>
    <w:rsid w:val="00F170C6"/>
    <w:rsid w:val="00F17901"/>
    <w:rsid w:val="00F17D7A"/>
    <w:rsid w:val="00F2018E"/>
    <w:rsid w:val="00F21D49"/>
    <w:rsid w:val="00F23A7A"/>
    <w:rsid w:val="00F33859"/>
    <w:rsid w:val="00F35621"/>
    <w:rsid w:val="00F3580F"/>
    <w:rsid w:val="00F46795"/>
    <w:rsid w:val="00F46C30"/>
    <w:rsid w:val="00F4721D"/>
    <w:rsid w:val="00F51035"/>
    <w:rsid w:val="00F52999"/>
    <w:rsid w:val="00F52E35"/>
    <w:rsid w:val="00F55069"/>
    <w:rsid w:val="00F566C1"/>
    <w:rsid w:val="00F6055A"/>
    <w:rsid w:val="00F60BF3"/>
    <w:rsid w:val="00F767F8"/>
    <w:rsid w:val="00F81BDA"/>
    <w:rsid w:val="00F8225B"/>
    <w:rsid w:val="00F834F1"/>
    <w:rsid w:val="00F87689"/>
    <w:rsid w:val="00F90D79"/>
    <w:rsid w:val="00F95DA0"/>
    <w:rsid w:val="00F9783D"/>
    <w:rsid w:val="00FA23DE"/>
    <w:rsid w:val="00FA5716"/>
    <w:rsid w:val="00FA5868"/>
    <w:rsid w:val="00FA6531"/>
    <w:rsid w:val="00FB0266"/>
    <w:rsid w:val="00FB1F3B"/>
    <w:rsid w:val="00FB2401"/>
    <w:rsid w:val="00FB2B82"/>
    <w:rsid w:val="00FB5020"/>
    <w:rsid w:val="00FB6F12"/>
    <w:rsid w:val="00FB72D2"/>
    <w:rsid w:val="00FC19DE"/>
    <w:rsid w:val="00FC42E3"/>
    <w:rsid w:val="00FC627A"/>
    <w:rsid w:val="00FC75E0"/>
    <w:rsid w:val="00FD1F25"/>
    <w:rsid w:val="00FD3230"/>
    <w:rsid w:val="00FD3299"/>
    <w:rsid w:val="00FD71E7"/>
    <w:rsid w:val="00FD7B7A"/>
    <w:rsid w:val="00FE2EBA"/>
    <w:rsid w:val="00FE3B80"/>
    <w:rsid w:val="00FE4AEE"/>
    <w:rsid w:val="00FE6385"/>
    <w:rsid w:val="00FF026E"/>
    <w:rsid w:val="00FF1C10"/>
    <w:rsid w:val="00FF3C47"/>
    <w:rsid w:val="00FF521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25E2"/>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semiHidden/>
    <w:rsid w:val="008725E2"/>
    <w:pPr>
      <w:tabs>
        <w:tab w:val="center" w:pos="4536"/>
        <w:tab w:val="right" w:pos="9072"/>
      </w:tabs>
    </w:pPr>
  </w:style>
  <w:style w:type="character" w:customStyle="1" w:styleId="NagwekZnak">
    <w:name w:val="Nagłówek Znak"/>
    <w:aliases w:val="OECD-Kopfzeile Znak,test Znak,header protocols Znak"/>
    <w:link w:val="Nagwek"/>
    <w:semiHidden/>
    <w:locked/>
    <w:rsid w:val="008D2FEC"/>
    <w:rPr>
      <w:sz w:val="22"/>
      <w:lang w:val="en-US"/>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rPr>
  </w:style>
  <w:style w:type="character" w:customStyle="1" w:styleId="RepLabelZchn">
    <w:name w:val="Rep Label Zchn"/>
    <w:link w:val="RepLabel"/>
    <w:locked/>
    <w:rsid w:val="008725E2"/>
    <w:rPr>
      <w:b/>
      <w:sz w:val="22"/>
      <w:lang w:val="en-GB"/>
    </w:rPr>
  </w:style>
  <w:style w:type="character" w:customStyle="1" w:styleId="RepPageHeaderZchn">
    <w:name w:val="Rep Page Header Zchn"/>
    <w:link w:val="RepPageHeader"/>
    <w:locked/>
    <w:rsid w:val="008725E2"/>
    <w:rPr>
      <w:rFonts w:cs="Times New Roman"/>
      <w:sz w:val="22"/>
      <w:szCs w:val="22"/>
      <w:lang w:val="en-GB"/>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aliases w:val="RP"/>
    <w:link w:val="RepStandardZchnZchn"/>
    <w:qFormat/>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tabs>
        <w:tab w:val="clear" w:pos="3403"/>
        <w:tab w:val="num" w:pos="1701"/>
      </w:tabs>
      <w:spacing w:before="480" w:after="240"/>
      <w:ind w:left="1701"/>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W1">
    <w:name w:val="Table 3D effects 1"/>
    <w:basedOn w:val="Standardowy"/>
    <w:uiPriority w:val="99"/>
    <w:semiHidden/>
    <w:rsid w:val="008725E2"/>
    <w:pPr>
      <w:jc w:val="center"/>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uiPriority w:val="99"/>
    <w:semiHidden/>
    <w:rsid w:val="008725E2"/>
    <w:pPr>
      <w:jc w:val="center"/>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W3">
    <w:name w:val="Table 3D effects 3"/>
    <w:basedOn w:val="Standardowy"/>
    <w:uiPriority w:val="99"/>
    <w:semiHidden/>
    <w:rsid w:val="008725E2"/>
    <w:pPr>
      <w:jc w:val="center"/>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uiPriority w:val="99"/>
    <w:semiHidden/>
    <w:rsid w:val="008725E2"/>
    <w:pPr>
      <w:shd w:val="clear" w:color="auto" w:fill="000080"/>
    </w:pPr>
    <w:rPr>
      <w:rFonts w:ascii="Tahoma" w:hAnsi="Tahoma" w:cs="Tahoma"/>
      <w:sz w:val="20"/>
      <w:szCs w:val="20"/>
    </w:rPr>
  </w:style>
  <w:style w:type="character" w:customStyle="1" w:styleId="PlandokumentuZnak">
    <w:name w:val="Plan dokumentu Znak"/>
    <w:link w:val="Plandokumentu"/>
    <w:uiPriority w:val="99"/>
    <w:semiHidden/>
    <w:locked/>
    <w:rsid w:val="00C81348"/>
    <w:rPr>
      <w:rFonts w:ascii="Tahoma" w:hAnsi="Tahoma"/>
      <w:shd w:val="clear" w:color="auto" w:fill="000080"/>
      <w:lang w:val="en-US"/>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rPr>
  </w:style>
  <w:style w:type="character" w:customStyle="1" w:styleId="RepTableBoldZchn">
    <w:name w:val="Rep Table Bold Zchn"/>
    <w:link w:val="RepTableBold"/>
    <w:locked/>
    <w:rsid w:val="008725E2"/>
    <w:rPr>
      <w:b/>
      <w:lang w:val="en-US"/>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rsid w:val="00BA6FD8"/>
    <w:pPr>
      <w:numPr>
        <w:numId w:val="6"/>
      </w:numPr>
    </w:pPr>
  </w:style>
  <w:style w:type="numbering" w:styleId="1ai">
    <w:name w:val="Outline List 1"/>
    <w:basedOn w:val="Bezlisty"/>
    <w:uiPriority w:val="99"/>
    <w:semiHidden/>
    <w:unhideWhenUsed/>
    <w:rsid w:val="00BA6FD8"/>
    <w:pPr>
      <w:numPr>
        <w:numId w:val="7"/>
      </w:numPr>
    </w:pPr>
  </w:style>
  <w:style w:type="numbering" w:styleId="Artykusekcja">
    <w:name w:val="Outline List 3"/>
    <w:basedOn w:val="Bezlisty"/>
    <w:uiPriority w:val="99"/>
    <w:semiHidden/>
    <w:unhideWhenUsed/>
    <w:rsid w:val="00BA6FD8"/>
    <w:pPr>
      <w:numPr>
        <w:numId w:val="8"/>
      </w:numPr>
    </w:pPr>
  </w:style>
  <w:style w:type="paragraph" w:customStyle="1" w:styleId="Default">
    <w:name w:val="Default"/>
    <w:rsid w:val="00977C41"/>
    <w:pPr>
      <w:autoSpaceDE w:val="0"/>
      <w:autoSpaceDN w:val="0"/>
      <w:adjustRightInd w:val="0"/>
    </w:pPr>
    <w:rPr>
      <w:color w:val="000000"/>
      <w:sz w:val="24"/>
      <w:szCs w:val="24"/>
      <w:lang w:val="en-GB"/>
    </w:rPr>
  </w:style>
  <w:style w:type="paragraph" w:styleId="Poprawka">
    <w:name w:val="Revision"/>
    <w:hidden/>
    <w:uiPriority w:val="99"/>
    <w:semiHidden/>
    <w:rsid w:val="00DB4BED"/>
    <w:rPr>
      <w:sz w:val="22"/>
      <w:szCs w:val="22"/>
      <w:lang w:val="en-US"/>
    </w:rPr>
  </w:style>
  <w:style w:type="table" w:customStyle="1" w:styleId="TableGrid">
    <w:name w:val="TableGrid"/>
    <w:rsid w:val="007D14A4"/>
    <w:rPr>
      <w:rFonts w:ascii="Calibri" w:hAnsi="Calibri"/>
      <w:kern w:val="2"/>
      <w:sz w:val="22"/>
      <w:szCs w:val="22"/>
      <w:lang w:val="en-IE" w:eastAsia="en-IE"/>
    </w:rPr>
    <w:tblPr>
      <w:tblCellMar>
        <w:top w:w="0" w:type="dxa"/>
        <w:left w:w="0" w:type="dxa"/>
        <w:bottom w:w="0" w:type="dxa"/>
        <w:right w:w="0" w:type="dxa"/>
      </w:tblCellMar>
    </w:tblPr>
  </w:style>
  <w:style w:type="table" w:customStyle="1" w:styleId="TableGrid1">
    <w:name w:val="TableGrid1"/>
    <w:rsid w:val="00602CF0"/>
    <w:rPr>
      <w:rFonts w:ascii="Calibri" w:hAnsi="Calibri"/>
      <w:kern w:val="2"/>
      <w:sz w:val="22"/>
      <w:szCs w:val="22"/>
      <w:lang w:val="en-IE" w:eastAsia="en-IE"/>
    </w:rPr>
    <w:tblPr>
      <w:tblCellMar>
        <w:top w:w="0" w:type="dxa"/>
        <w:left w:w="0" w:type="dxa"/>
        <w:bottom w:w="0" w:type="dxa"/>
        <w:right w:w="0" w:type="dxa"/>
      </w:tblCellMar>
    </w:tblPr>
  </w:style>
  <w:style w:type="paragraph" w:customStyle="1" w:styleId="footnotedescription">
    <w:name w:val="footnote description"/>
    <w:next w:val="Normalny"/>
    <w:link w:val="footnotedescriptionChar"/>
    <w:hidden/>
    <w:rsid w:val="00444551"/>
    <w:pPr>
      <w:spacing w:line="259" w:lineRule="auto"/>
    </w:pPr>
    <w:rPr>
      <w:color w:val="000000"/>
      <w:kern w:val="2"/>
      <w:sz w:val="18"/>
      <w:szCs w:val="22"/>
      <w:lang w:val="en-IE" w:eastAsia="en-IE"/>
    </w:rPr>
  </w:style>
  <w:style w:type="character" w:customStyle="1" w:styleId="footnotedescriptionChar">
    <w:name w:val="footnote description Char"/>
    <w:link w:val="footnotedescription"/>
    <w:rsid w:val="00444551"/>
    <w:rPr>
      <w:color w:val="000000"/>
      <w:kern w:val="2"/>
      <w:sz w:val="18"/>
      <w:szCs w:val="22"/>
      <w:lang w:val="en-IE" w:eastAsia="en-IE"/>
    </w:rPr>
  </w:style>
  <w:style w:type="character" w:customStyle="1" w:styleId="footnotemark">
    <w:name w:val="footnote mark"/>
    <w:hidden/>
    <w:rsid w:val="00444551"/>
    <w:rPr>
      <w:rFonts w:ascii="Times New Roman" w:eastAsia="Times New Roman" w:hAnsi="Times New Roman" w:cs="Times New Roman"/>
      <w:color w:val="000000"/>
      <w:sz w:val="20"/>
      <w:vertAlign w:val="superscript"/>
    </w:rPr>
  </w:style>
</w:styles>
</file>

<file path=word/webSettings.xml><?xml version="1.0" encoding="utf-8"?>
<w:webSettings xmlns:r="http://schemas.openxmlformats.org/officeDocument/2006/relationships" xmlns:w="http://schemas.openxmlformats.org/wordprocessingml/2006/main">
  <w:divs>
    <w:div w:id="81145170">
      <w:bodyDiv w:val="1"/>
      <w:marLeft w:val="0"/>
      <w:marRight w:val="0"/>
      <w:marTop w:val="0"/>
      <w:marBottom w:val="0"/>
      <w:divBdr>
        <w:top w:val="none" w:sz="0" w:space="0" w:color="auto"/>
        <w:left w:val="none" w:sz="0" w:space="0" w:color="auto"/>
        <w:bottom w:val="none" w:sz="0" w:space="0" w:color="auto"/>
        <w:right w:val="none" w:sz="0" w:space="0" w:color="auto"/>
      </w:divBdr>
    </w:div>
    <w:div w:id="273287988">
      <w:bodyDiv w:val="1"/>
      <w:marLeft w:val="0"/>
      <w:marRight w:val="0"/>
      <w:marTop w:val="0"/>
      <w:marBottom w:val="0"/>
      <w:divBdr>
        <w:top w:val="none" w:sz="0" w:space="0" w:color="auto"/>
        <w:left w:val="none" w:sz="0" w:space="0" w:color="auto"/>
        <w:bottom w:val="none" w:sz="0" w:space="0" w:color="auto"/>
        <w:right w:val="none" w:sz="0" w:space="0" w:color="auto"/>
      </w:divBdr>
    </w:div>
    <w:div w:id="685323960">
      <w:bodyDiv w:val="1"/>
      <w:marLeft w:val="0"/>
      <w:marRight w:val="0"/>
      <w:marTop w:val="0"/>
      <w:marBottom w:val="0"/>
      <w:divBdr>
        <w:top w:val="none" w:sz="0" w:space="0" w:color="auto"/>
        <w:left w:val="none" w:sz="0" w:space="0" w:color="auto"/>
        <w:bottom w:val="none" w:sz="0" w:space="0" w:color="auto"/>
        <w:right w:val="none" w:sz="0" w:space="0" w:color="auto"/>
      </w:divBdr>
    </w:div>
    <w:div w:id="212029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Dokument_programu_Microsoft_Office_Word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C416B-2737-4ED4-8782-8420623D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44</Pages>
  <Words>10014</Words>
  <Characters>60084</Characters>
  <Application>Microsoft Office Word</Application>
  <DocSecurity>0</DocSecurity>
  <Lines>500</Lines>
  <Paragraphs>139</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6</vt:lpstr>
      <vt:lpstr>Part B, Section 6</vt:lpstr>
      <vt:lpstr>Part B, Section 6</vt:lpstr>
    </vt:vector>
  </TitlesOfParts>
  <Company>AFSSA</Company>
  <LinksUpToDate>false</LinksUpToDate>
  <CharactersWithSpaces>69959</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Bożena Wiadrowska</cp:lastModifiedBy>
  <cp:revision>22</cp:revision>
  <cp:lastPrinted>2016-06-30T08:49:00Z</cp:lastPrinted>
  <dcterms:created xsi:type="dcterms:W3CDTF">2024-09-30T11:25:00Z</dcterms:created>
  <dcterms:modified xsi:type="dcterms:W3CDTF">2025-07-08T12:16:00Z</dcterms:modified>
</cp:coreProperties>
</file>